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9775DB">
                <w:t>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41A43">
                        <w:t>P</w:t>
                      </w:r>
                      <w:r w:rsidR="00F30B4A">
                        <w:t xml:space="preserve">ML: </w:t>
                      </w:r>
                      <w:r w:rsidR="002301E2" w:rsidRPr="00490912">
                        <w:t>normalViewPr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362947168"/>
                                                                  <w:placeholder>
                                                                    <w:docPart w:val="B2E72B5E1DB04B8E877834A3CC9D99B0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-768550607"/>
                                                                      <w:placeholder>
                                                                        <w:docPart w:val="1E0B255A7BFD48F5A2F46C838FE32EC5"/>
                                                                      </w:placeholder>
                                                                    </w:sdtPr>
                                                                    <w:sdtContent>
                                                                      <w:r w:rsidR="002301E2">
                                                                        <w:t xml:space="preserve">PML: </w:t>
                                                                      </w:r>
                                                                      <w:r w:rsidR="002301E2" w:rsidRPr="00490912">
                                                                        <w:t>normalViewPr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235F8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1167AA" w:rsidRPr="001167AA">
                <w:rPr>
                  <w:rStyle w:val="Hyperlink"/>
                </w:rPr>
                <w:t>caroline.arms@gmail.com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5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06847">
                <w:t>2016-05-10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7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06847">
                <w:t>2016-07-10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490912">
                <w:rPr>
                  <w:highlight w:val="cyan"/>
                </w:rPr>
                <w:t>29500:201</w:t>
              </w:r>
              <w:r w:rsidR="00490912" w:rsidRPr="00490912">
                <w:rPr>
                  <w:highlight w:val="cyan"/>
                </w:rPr>
                <w:t>6</w:t>
              </w:r>
              <w:r w:rsidR="003E1006" w:rsidRPr="00490912">
                <w:t>,</w:t>
              </w:r>
              <w:r w:rsidR="00AB0B92" w:rsidRPr="00490912">
                <w:t xml:space="preserve"> </w:t>
              </w:r>
              <w:r w:rsidR="00A22E5B" w:rsidRPr="00490912">
                <w:t xml:space="preserve">Part </w:t>
              </w:r>
              <w:r w:rsidR="00D73B92" w:rsidRPr="00490912">
                <w:t>1</w:t>
              </w:r>
              <w:r w:rsidR="001C1F3A" w:rsidRPr="00490912">
                <w:t xml:space="preserve">, </w:t>
              </w:r>
              <w:r w:rsidR="00490912" w:rsidRPr="00490912">
                <w:t>§19.2.2.6, “normalViewPr (Normal View Properties)”, p. xx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E74577" w:rsidRPr="00E74577" w:rsidRDefault="00E74577" w:rsidP="00E74577">
              <w:pPr>
                <w:rPr>
                  <w:rFonts w:ascii="Calibri" w:eastAsiaTheme="minorHAnsi" w:hAnsi="Calibri"/>
                  <w:szCs w:val="24"/>
                  <w:lang w:eastAsia="en-US"/>
                </w:rPr>
              </w:pPr>
              <w:r>
                <w:t>Although 29500-1:2012 Cor</w:t>
              </w:r>
              <w:r w:rsidR="00243FE9">
                <w:t>.</w:t>
              </w:r>
              <w:r>
                <w:t xml:space="preserve"> 1 </w:t>
              </w:r>
              <w:r w:rsidR="00243FE9">
                <w:t xml:space="preserve">[see DR 12-0009] </w:t>
              </w:r>
              <w:r>
                <w:t>fixed some things in this area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>, there appears to be a mix-up over the horizontal and vertical splitter bars.  The s</w:t>
              </w:r>
              <w:bookmarkStart w:id="1" w:name="_GoBack"/>
              <w:bookmarkEnd w:id="1"/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entences beginning </w:t>
              </w:r>
              <w:r>
                <w:rPr>
                  <w:rFonts w:ascii="Calibri" w:eastAsiaTheme="minorHAnsi" w:hAnsi="Calibri"/>
                  <w:szCs w:val="24"/>
                  <w:lang w:eastAsia="en-US"/>
                </w:rPr>
                <w:t>“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>The region to be maximized</w:t>
              </w:r>
              <w:r>
                <w:rPr>
                  <w:rFonts w:ascii="Calibri" w:eastAsiaTheme="minorHAnsi" w:hAnsi="Calibri"/>
                  <w:szCs w:val="24"/>
                  <w:lang w:eastAsia="en-US"/>
                </w:rPr>
                <w:t xml:space="preserve">” 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in the attribute descriptions for </w:t>
              </w:r>
              <w:r w:rsidRPr="00E74577">
                <w:rPr>
                  <w:rStyle w:val="Attribute"/>
                  <w:lang w:eastAsia="en-US"/>
                </w:rPr>
                <w:t>horzBarState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 and </w:t>
              </w:r>
              <w:r w:rsidRPr="00E74577">
                <w:rPr>
                  <w:rStyle w:val="Attribute"/>
                  <w:lang w:eastAsia="en-US"/>
                </w:rPr>
                <w:t>vertBarState</w:t>
              </w:r>
              <w:r w:rsidRPr="00E74577">
                <w:rPr>
                  <w:rFonts w:ascii="Calibri" w:eastAsiaTheme="minorHAnsi" w:hAnsi="Calibri"/>
                  <w:szCs w:val="24"/>
                  <w:lang w:eastAsia="en-US"/>
                </w:rPr>
                <w:t xml:space="preserve"> seem to conflict with the labels in the diagram.</w:t>
              </w:r>
            </w:p>
            <w:p w:rsidR="00CE2B5D" w:rsidRPr="001C1F3A" w:rsidRDefault="00E74577" w:rsidP="00CA6CE5">
              <w:r>
                <w:rPr>
                  <w:rFonts w:eastAsiaTheme="minorHAnsi"/>
                </w:rPr>
                <w:t>T</w:t>
              </w:r>
              <w:r w:rsidRPr="00E74577">
                <w:rPr>
                  <w:rFonts w:eastAsiaTheme="minorHAnsi"/>
                </w:rPr>
                <w:t xml:space="preserve">he final sentences of the paragraphs of each description appear to be swapped over. Separately, the new edit </w:t>
              </w:r>
              <w:r>
                <w:rPr>
                  <w:rFonts w:eastAsiaTheme="minorHAnsi"/>
                </w:rPr>
                <w:t xml:space="preserve">by Cor1 </w:t>
              </w:r>
              <w:r w:rsidRPr="00E74577">
                <w:rPr>
                  <w:rFonts w:eastAsiaTheme="minorHAnsi"/>
                </w:rPr>
                <w:t xml:space="preserve">to add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primary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and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content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to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slide region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in the description of </w:t>
              </w:r>
              <w:r w:rsidRPr="00E74577">
                <w:rPr>
                  <w:rStyle w:val="Attribute"/>
                  <w:rFonts w:eastAsiaTheme="minorHAnsi"/>
                </w:rPr>
                <w:t>vertBarState</w:t>
              </w:r>
              <w:r w:rsidRPr="00E74577">
                <w:rPr>
                  <w:rFonts w:eastAsiaTheme="minorHAnsi"/>
                </w:rPr>
                <w:t xml:space="preserve"> doesn’t seem correct, as the name of the region in the diagram was not changed to match. And </w:t>
              </w:r>
              <w:r>
                <w:rPr>
                  <w:rFonts w:eastAsiaTheme="minorHAnsi"/>
                </w:rPr>
                <w:t>“</w:t>
              </w:r>
              <w:r w:rsidRPr="00E74577">
                <w:rPr>
                  <w:rFonts w:eastAsiaTheme="minorHAnsi"/>
                </w:rPr>
                <w:t>primary slide content</w:t>
              </w:r>
              <w:r>
                <w:rPr>
                  <w:rFonts w:eastAsiaTheme="minorHAnsi"/>
                </w:rPr>
                <w:t>”</w:t>
              </w:r>
              <w:r w:rsidRPr="00E74577">
                <w:rPr>
                  <w:rFonts w:eastAsiaTheme="minorHAnsi"/>
                </w:rPr>
                <w:t xml:space="preserve"> is not used elsewhere. These two new words might need to be removed.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00378C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:rsidR="00F22746" w:rsidRPr="00C51313" w:rsidRDefault="00CF4CAC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8C" w:rsidRDefault="0000378C">
      <w:r>
        <w:separator/>
      </w:r>
    </w:p>
    <w:p w:rsidR="0000378C" w:rsidRDefault="0000378C"/>
    <w:p w:rsidR="0000378C" w:rsidRDefault="0000378C"/>
  </w:endnote>
  <w:endnote w:type="continuationSeparator" w:id="0">
    <w:p w:rsidR="0000378C" w:rsidRDefault="0000378C">
      <w:r>
        <w:continuationSeparator/>
      </w:r>
    </w:p>
    <w:p w:rsidR="0000378C" w:rsidRDefault="0000378C"/>
    <w:p w:rsidR="0000378C" w:rsidRDefault="00003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00378C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243FE9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8C" w:rsidRDefault="0000378C">
      <w:r>
        <w:separator/>
      </w:r>
    </w:p>
    <w:p w:rsidR="0000378C" w:rsidRDefault="0000378C"/>
    <w:p w:rsidR="0000378C" w:rsidRDefault="0000378C"/>
  </w:footnote>
  <w:footnote w:type="continuationSeparator" w:id="0">
    <w:p w:rsidR="0000378C" w:rsidRDefault="0000378C">
      <w:r>
        <w:continuationSeparator/>
      </w:r>
    </w:p>
    <w:p w:rsidR="0000378C" w:rsidRDefault="0000378C"/>
    <w:p w:rsidR="0000378C" w:rsidRDefault="00003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78C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98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7AA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1E2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3FE9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A43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12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639A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5F8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4E8E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84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5DB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45C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313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4C97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3E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CE5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4CAC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AB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577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EE6B04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E72B5E1DB04B8E877834A3CC9D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06-ED8D-4116-BF6B-5F4D7EA8C084}"/>
      </w:docPartPr>
      <w:docPartBody>
        <w:p w:rsidR="003E3987" w:rsidRDefault="00EE6B04" w:rsidP="00EE6B04">
          <w:pPr>
            <w:pStyle w:val="B2E72B5E1DB04B8E877834A3CC9D99B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E0B255A7BFD48F5A2F46C838FE3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AB8D-0217-4B4B-AE8A-4E6CDB38D970}"/>
      </w:docPartPr>
      <w:docPartBody>
        <w:p w:rsidR="00000000" w:rsidRDefault="00081E99" w:rsidP="00081E99">
          <w:pPr>
            <w:pStyle w:val="1E0B255A7BFD48F5A2F46C838FE32EC5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1E99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71A4B"/>
    <w:rsid w:val="003A2495"/>
    <w:rsid w:val="003B0ACA"/>
    <w:rsid w:val="003D346E"/>
    <w:rsid w:val="003E3987"/>
    <w:rsid w:val="004318C4"/>
    <w:rsid w:val="00437B5A"/>
    <w:rsid w:val="004B5DB6"/>
    <w:rsid w:val="004B7071"/>
    <w:rsid w:val="004D4C0C"/>
    <w:rsid w:val="00524840"/>
    <w:rsid w:val="00536EBA"/>
    <w:rsid w:val="005A35B7"/>
    <w:rsid w:val="005B0E3B"/>
    <w:rsid w:val="006414C8"/>
    <w:rsid w:val="00646C29"/>
    <w:rsid w:val="00675C7C"/>
    <w:rsid w:val="00687E45"/>
    <w:rsid w:val="00697488"/>
    <w:rsid w:val="00700EDE"/>
    <w:rsid w:val="007060F9"/>
    <w:rsid w:val="007222B1"/>
    <w:rsid w:val="007327E1"/>
    <w:rsid w:val="007F5D5F"/>
    <w:rsid w:val="00834A15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EE6B04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81E99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  <w:style w:type="paragraph" w:customStyle="1" w:styleId="B2E72B5E1DB04B8E877834A3CC9D99B0">
    <w:name w:val="B2E72B5E1DB04B8E877834A3CC9D99B0"/>
    <w:rsid w:val="00EE6B04"/>
    <w:pPr>
      <w:spacing w:after="160" w:line="259" w:lineRule="auto"/>
    </w:pPr>
  </w:style>
  <w:style w:type="paragraph" w:customStyle="1" w:styleId="1E0B255A7BFD48F5A2F46C838FE32EC5">
    <w:name w:val="1E0B255A7BFD48F5A2F46C838FE32EC5"/>
    <w:rsid w:val="00081E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E5CF-8D5E-4BA1-96C4-A691EC7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1429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10</cp:revision>
  <cp:lastPrinted>2009-09-14T21:51:00Z</cp:lastPrinted>
  <dcterms:created xsi:type="dcterms:W3CDTF">2016-05-13T16:17:00Z</dcterms:created>
  <dcterms:modified xsi:type="dcterms:W3CDTF">2016-05-13T16:28:00Z</dcterms:modified>
</cp:coreProperties>
</file>