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0CE1BD74" w14:textId="41FCC6D9"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37723A">
                <w:t>1</w:t>
              </w:r>
              <w:r w:rsidR="00977159">
                <w:t>7</w:t>
              </w:r>
              <w:r w:rsidR="0037723A">
                <w:t>-</w:t>
              </w:r>
              <w:r w:rsidR="00B15759">
                <w:t>0027</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21662010"/>
                  <w:placeholder>
                    <w:docPart w:val="7D76C22CEA6142C189BFDE6F9E1787A2"/>
                  </w:placeholder>
                </w:sdtPr>
                <w:sdtEndPr/>
                <w:sdtContent>
                  <w:r w:rsidR="0037723A">
                    <w:t>SML: omissions and inconsistencies in the specification of attributes</w:t>
                  </w:r>
                </w:sdtContent>
              </w:sdt>
            </w:sdtContent>
          </w:sdt>
        </w:p>
        <w:p w14:paraId="4B2DB27A"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rsidR="006935C9">
                <w:t>Further Consideration Required</w:t>
              </w:r>
            </w:sdtContent>
          </w:sdt>
        </w:p>
        <w:p w14:paraId="3324DA06"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EF37C7">
                    <w:t>SML: omissions and inconsistencies in the specification of attributes</w:t>
                  </w:r>
                </w:sdtContent>
              </w:sdt>
            </w:sdtContent>
          </w:sdt>
        </w:p>
        <w:p w14:paraId="27CCDAA5"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F37C7">
                <w:t>Request for clarification</w:t>
              </w:r>
            </w:sdtContent>
          </w:sdt>
        </w:p>
        <w:p w14:paraId="78ECA3D6"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EF37C7">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EF37C7">
                <w:t>BSI</w:t>
              </w:r>
              <w:r>
                <w:t>)</w:t>
              </w:r>
            </w:sdtContent>
          </w:sdt>
        </w:p>
        <w:p w14:paraId="295635EA" w14:textId="1BBA8DC0"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EF37C7" w:rsidRPr="0037723A">
                  <w:rPr>
                    <w:rStyle w:val="Hyperlink"/>
                  </w:rPr>
                  <w:t>francis@franciscave.com</w:t>
                </w:r>
              </w:hyperlink>
            </w:sdtContent>
          </w:sdt>
        </w:p>
        <w:p w14:paraId="6B5F1E82"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sdt>
                <w:sdtPr>
                  <w:alias w:val="Supporting Document(s)"/>
                  <w:tag w:val="Supporting Document(s)"/>
                  <w:id w:val="-1187287900"/>
                  <w:placeholder>
                    <w:docPart w:val="7B9FE664BFD54A7DB43AD4FE987D0064"/>
                  </w:placeholder>
                </w:sdtPr>
                <w:sdtEndPr/>
                <w:sdtContent>
                  <w:r w:rsidR="0037723A">
                    <w:t>None</w:t>
                  </w:r>
                </w:sdtContent>
              </w:sdt>
            </w:sdtContent>
          </w:sdt>
        </w:p>
        <w:p w14:paraId="3B224C86"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37723A">
                    <w:t>None</w:t>
                  </w:r>
                </w:sdtContent>
              </w:sdt>
            </w:sdtContent>
          </w:sdt>
        </w:p>
        <w:p w14:paraId="2DDE8EB7" w14:textId="55CBB2FC"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7-09-06T00:00:00Z">
                <w:dateFormat w:val="yyyy-MM-dd"/>
                <w:lid w:val="en-US"/>
                <w:storeMappedDataAs w:val="dateTime"/>
                <w:calendar w:val="gregorian"/>
              </w:date>
            </w:sdtPr>
            <w:sdtEndPr/>
            <w:sdtContent>
              <w:r w:rsidR="00B15759">
                <w:t>2017-09-06</w:t>
              </w:r>
            </w:sdtContent>
          </w:sdt>
        </w:p>
        <w:p w14:paraId="4E15DABF" w14:textId="3BA9CF90"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7-11-06T00:00:00Z">
                <w:dateFormat w:val="yyyy-MM-dd"/>
                <w:lid w:val="en-US"/>
                <w:storeMappedDataAs w:val="dateTime"/>
                <w:calendar w:val="gregorian"/>
              </w:date>
            </w:sdtPr>
            <w:sdtEndPr/>
            <w:sdtContent>
              <w:r w:rsidR="00B15759">
                <w:t>2017-11-06</w:t>
              </w:r>
            </w:sdtContent>
          </w:sdt>
        </w:p>
        <w:p w14:paraId="3775AA2D" w14:textId="7777777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F37C7" w:rsidRPr="0060478B">
                <w:rPr>
                  <w:highlight w:val="magenta"/>
                </w:rPr>
                <w:t>29500-1:201</w:t>
              </w:r>
              <w:r w:rsidR="0060478B" w:rsidRPr="0060478B">
                <w:rPr>
                  <w:highlight w:val="magenta"/>
                </w:rPr>
                <w:t>6</w:t>
              </w:r>
              <w:r w:rsidR="0037723A">
                <w:t>, §18.*</w:t>
              </w:r>
            </w:sdtContent>
          </w:sdt>
          <w:bookmarkStart w:id="1" w:name="_GoBack"/>
          <w:bookmarkEnd w:id="1"/>
        </w:p>
        <w:p w14:paraId="380E638E" w14:textId="3CC3FA46"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977159">
                <w:t>16-0007</w:t>
              </w:r>
            </w:sdtContent>
          </w:sdt>
        </w:p>
        <w:p w14:paraId="1B0E04F2" w14:textId="77777777" w:rsidR="00CE2B5D" w:rsidRPr="00EF2B21" w:rsidRDefault="00CE2B5D" w:rsidP="00CE2B5D">
          <w:pPr>
            <w:pStyle w:val="FieldTitleKeepWithNext"/>
            <w:rPr>
              <w:b w:val="0"/>
            </w:rPr>
          </w:pPr>
          <w:r w:rsidRPr="00B7579A">
            <w:t>Nature of the Defect:</w:t>
          </w:r>
        </w:p>
        <w:sdt>
          <w:sdtPr>
            <w:rPr>
              <w:sz w:val="22"/>
              <w:szCs w:val="22"/>
            </w:rPr>
            <w:alias w:val="Defect Description"/>
            <w:tag w:val="Defect Description"/>
            <w:id w:val="99175286"/>
            <w:lock w:val="sdtLocked"/>
            <w:placeholder>
              <w:docPart w:val="A98BD0FCAB3745FF893BB76AF3C636DA"/>
            </w:placeholder>
          </w:sdtPr>
          <w:sdtEndPr/>
          <w:sdtContent>
            <w:p w14:paraId="54807F24" w14:textId="503B3628" w:rsidR="00416FC7" w:rsidRDefault="00416FC7" w:rsidP="00977159">
              <w:pPr>
                <w:pStyle w:val="NormalWeb"/>
              </w:pPr>
              <w:r>
                <w:t>The</w:t>
              </w:r>
              <w:r w:rsidR="00EF37C7">
                <w:t xml:space="preserve"> text does not unambiguously specify how to interpret the element, when present, if any of the listed attributes, declared in the schema to be optional but with no default value, is omitted.</w:t>
              </w:r>
            </w:p>
            <w:p w14:paraId="4F1442D4" w14:textId="0542E903" w:rsidR="00416FC7" w:rsidRDefault="00416FC7" w:rsidP="00416FC7">
              <w:pPr>
                <w:numPr>
                  <w:ilvl w:val="0"/>
                  <w:numId w:val="61"/>
                </w:numPr>
                <w:spacing w:after="0" w:line="240" w:lineRule="auto"/>
                <w:rPr>
                  <w:lang w:val="en-GB"/>
                </w:rPr>
              </w:pPr>
              <w:r>
                <w:rPr>
                  <w:lang w:val="en-GB"/>
                </w:rPr>
                <w:t>§18.2.2 calcPr (@calcId) (complex type: CT_CalcPr)</w:t>
              </w:r>
            </w:p>
            <w:p w14:paraId="5754AAC3" w14:textId="71055639" w:rsidR="00416FC7" w:rsidRDefault="00416FC7" w:rsidP="00416FC7">
              <w:pPr>
                <w:numPr>
                  <w:ilvl w:val="0"/>
                  <w:numId w:val="61"/>
                </w:numPr>
                <w:spacing w:after="0" w:line="240" w:lineRule="auto"/>
                <w:rPr>
                  <w:lang w:val="en-GB"/>
                </w:rPr>
              </w:pPr>
              <w:r>
                <w:rPr>
                  <w:lang w:val="en-GB"/>
                </w:rPr>
                <w:t>§18.2.28 workbookPr (@defaultThemeVersion) (complex type: CT_WorkbookPr)</w:t>
              </w:r>
            </w:p>
            <w:p w14:paraId="6627DC52" w14:textId="64C2E6C6" w:rsidR="00416FC7" w:rsidRDefault="00416FC7" w:rsidP="00416FC7">
              <w:pPr>
                <w:numPr>
                  <w:ilvl w:val="0"/>
                  <w:numId w:val="61"/>
                </w:numPr>
                <w:spacing w:after="0" w:line="240" w:lineRule="auto"/>
                <w:rPr>
                  <w:lang w:val="en-GB"/>
                </w:rPr>
              </w:pPr>
              <w:r>
                <w:rPr>
                  <w:lang w:val="en-GB"/>
                </w:rPr>
                <w:t>§18.3.1.10 cfRule (@rank) (complex type: CT_CfRule)</w:t>
              </w:r>
            </w:p>
            <w:p w14:paraId="223C1BB2" w14:textId="18FEF811" w:rsidR="00416FC7" w:rsidRDefault="00416FC7" w:rsidP="00416FC7">
              <w:pPr>
                <w:numPr>
                  <w:ilvl w:val="0"/>
                  <w:numId w:val="61"/>
                </w:numPr>
                <w:spacing w:after="0" w:line="240" w:lineRule="auto"/>
                <w:rPr>
                  <w:lang w:val="en-GB"/>
                </w:rPr>
              </w:pPr>
              <w:r>
                <w:rPr>
                  <w:lang w:val="en-GB"/>
                </w:rPr>
                <w:t>§18.3.1.33 dataValidations (@count, @xWindow, @yWindow) (complex type: CT_DataValidations)</w:t>
              </w:r>
            </w:p>
            <w:p w14:paraId="76FF3056" w14:textId="309E040E" w:rsidR="00416FC7" w:rsidRDefault="00416FC7" w:rsidP="00416FC7">
              <w:pPr>
                <w:numPr>
                  <w:ilvl w:val="0"/>
                  <w:numId w:val="61"/>
                </w:numPr>
                <w:spacing w:after="0" w:line="240" w:lineRule="auto"/>
                <w:rPr>
                  <w:lang w:val="en-GB"/>
                </w:rPr>
              </w:pPr>
              <w:r>
                <w:rPr>
                  <w:lang w:val="en-GB"/>
                </w:rPr>
                <w:t>§18.3.1.52 inputCells (@numFmtId) (complex type: CT_InputCells)</w:t>
              </w:r>
            </w:p>
            <w:p w14:paraId="36EE47AF" w14:textId="2A2EE2BC" w:rsidR="00416FC7" w:rsidRDefault="00416FC7" w:rsidP="00416FC7">
              <w:pPr>
                <w:numPr>
                  <w:ilvl w:val="0"/>
                  <w:numId w:val="61"/>
                </w:numPr>
                <w:spacing w:after="0" w:line="240" w:lineRule="auto"/>
                <w:rPr>
                  <w:lang w:val="en-GB"/>
                </w:rPr>
              </w:pPr>
              <w:r>
                <w:rPr>
                  <w:lang w:val="en-GB"/>
                </w:rPr>
                <w:t>§18.3.1.68 pivotArea (@field) (complex type: CT_PivotArea)</w:t>
              </w:r>
            </w:p>
            <w:p w14:paraId="6E40C28A" w14:textId="78139128" w:rsidR="00416FC7" w:rsidRDefault="00416FC7" w:rsidP="00416FC7">
              <w:pPr>
                <w:numPr>
                  <w:ilvl w:val="0"/>
                  <w:numId w:val="61"/>
                </w:numPr>
                <w:spacing w:after="0" w:line="240" w:lineRule="auto"/>
                <w:rPr>
                  <w:lang w:val="en-GB"/>
                </w:rPr>
              </w:pPr>
              <w:r>
                <w:rPr>
                  <w:lang w:val="en-GB"/>
                </w:rPr>
                <w:t>§18.3.1.78 selection (@activeCell) (complex type: CT_Selection)</w:t>
              </w:r>
            </w:p>
            <w:p w14:paraId="45740A4A" w14:textId="02F59D16" w:rsidR="00416FC7" w:rsidRDefault="00416FC7" w:rsidP="00416FC7">
              <w:pPr>
                <w:numPr>
                  <w:ilvl w:val="0"/>
                  <w:numId w:val="61"/>
                </w:numPr>
                <w:spacing w:after="0" w:line="240" w:lineRule="auto"/>
                <w:rPr>
                  <w:lang w:val="en-GB"/>
                </w:rPr>
              </w:pPr>
              <w:r>
                <w:rPr>
                  <w:lang w:val="en-GB"/>
                </w:rPr>
                <w:t>§18.3.1.93 tabColor (@auto) (complex type: CT_TabColor)</w:t>
              </w:r>
            </w:p>
            <w:p w14:paraId="0FBB90ED" w14:textId="45806CA6" w:rsidR="00416FC7" w:rsidRDefault="00416FC7" w:rsidP="00416FC7">
              <w:pPr>
                <w:numPr>
                  <w:ilvl w:val="0"/>
                  <w:numId w:val="61"/>
                </w:numPr>
                <w:spacing w:after="0" w:line="240" w:lineRule="auto"/>
                <w:rPr>
                  <w:lang w:val="en-GB"/>
                </w:rPr>
              </w:pPr>
              <w:r>
                <w:rPr>
                  <w:lang w:val="en-GB"/>
                </w:rPr>
                <w:t xml:space="preserve">§18.3.2.4 dateGroupItem (@day, @month, @hour, @minute, @second) </w:t>
              </w:r>
              <w:r>
                <w:rPr>
                  <w:lang w:val="en-GB"/>
                </w:rPr>
                <w:br/>
                <w:t>(complex type: CT_DateGroupItem)</w:t>
              </w:r>
            </w:p>
            <w:p w14:paraId="69DA67C0" w14:textId="5E2255C8" w:rsidR="00416FC7" w:rsidRDefault="00416FC7" w:rsidP="00416FC7">
              <w:pPr>
                <w:numPr>
                  <w:ilvl w:val="0"/>
                  <w:numId w:val="61"/>
                </w:numPr>
                <w:spacing w:after="0" w:line="240" w:lineRule="auto"/>
                <w:rPr>
                  <w:lang w:val="en-GB"/>
                </w:rPr>
              </w:pPr>
              <w:r>
                <w:rPr>
                  <w:lang w:val="en-GB"/>
                </w:rPr>
                <w:t>§18.5.1.2 table (@connectionId) (complex type: CT_Table)</w:t>
              </w:r>
            </w:p>
            <w:p w14:paraId="7ACB1C58" w14:textId="15693B80" w:rsidR="00416FC7" w:rsidRDefault="00416FC7" w:rsidP="00416FC7">
              <w:pPr>
                <w:numPr>
                  <w:ilvl w:val="0"/>
                  <w:numId w:val="61"/>
                </w:numPr>
                <w:spacing w:after="0" w:line="240" w:lineRule="auto"/>
                <w:rPr>
                  <w:lang w:val="en-GB"/>
                </w:rPr>
              </w:pPr>
              <w:r>
                <w:rPr>
                  <w:lang w:val="en-GB"/>
                </w:rPr>
                <w:lastRenderedPageBreak/>
                <w:t>§18.8.1 alignment (@horizontal, @indent, @justifyLastLine, @readingOrder, @relativeIndent, @shrinkToFit, @textRotation, @vertical, @wrapText) (complex type: CT_CellAlignment)</w:t>
              </w:r>
            </w:p>
            <w:p w14:paraId="3888887A" w14:textId="616FB05A" w:rsidR="00416FC7" w:rsidRDefault="00416FC7" w:rsidP="00416FC7">
              <w:pPr>
                <w:numPr>
                  <w:ilvl w:val="0"/>
                  <w:numId w:val="61"/>
                </w:numPr>
                <w:spacing w:after="0" w:line="240" w:lineRule="auto"/>
                <w:rPr>
                  <w:lang w:val="en-GB"/>
                </w:rPr>
              </w:pPr>
              <w:r>
                <w:rPr>
                  <w:lang w:val="en-GB"/>
                </w:rPr>
                <w:t>§18.8.4 border (@diagonalDown, @diagonalUp) (complex type: CT_Border)</w:t>
              </w:r>
            </w:p>
            <w:p w14:paraId="68E88151" w14:textId="0DF49874" w:rsidR="00416FC7" w:rsidRDefault="00416FC7" w:rsidP="00416FC7">
              <w:pPr>
                <w:numPr>
                  <w:ilvl w:val="0"/>
                  <w:numId w:val="61"/>
                </w:numPr>
                <w:spacing w:after="0" w:line="240" w:lineRule="auto"/>
                <w:rPr>
                  <w:lang w:val="en-GB"/>
                </w:rPr>
              </w:pPr>
              <w:r>
                <w:rPr>
                  <w:lang w:val="en-GB"/>
                </w:rPr>
                <w:t>§18.8.33 protection (@hidden @locked) (complex type: CT_CellProtection)</w:t>
              </w:r>
            </w:p>
            <w:p w14:paraId="3AB5E7D4" w14:textId="0E5830F3" w:rsidR="00416FC7" w:rsidRDefault="00416FC7" w:rsidP="00416FC7">
              <w:pPr>
                <w:numPr>
                  <w:ilvl w:val="0"/>
                  <w:numId w:val="61"/>
                </w:numPr>
                <w:spacing w:after="0" w:line="240" w:lineRule="auto"/>
                <w:rPr>
                  <w:lang w:val="en-GB"/>
                </w:rPr>
              </w:pPr>
              <w:r>
                <w:rPr>
                  <w:lang w:val="en-GB"/>
                </w:rPr>
                <w:t>§18.10.1.33 filter (@iMeasureFld) (complex type: CT_PivotFilter)</w:t>
              </w:r>
            </w:p>
            <w:p w14:paraId="6F8B7CF7" w14:textId="5CDD0E06" w:rsidR="00416FC7" w:rsidRDefault="00416FC7" w:rsidP="00416FC7">
              <w:pPr>
                <w:numPr>
                  <w:ilvl w:val="0"/>
                  <w:numId w:val="61"/>
                </w:numPr>
                <w:spacing w:after="0" w:line="240" w:lineRule="auto"/>
                <w:rPr>
                  <w:lang w:val="en-GB"/>
                </w:rPr>
              </w:pPr>
              <w:r>
                <w:rPr>
                  <w:lang w:val="en-GB"/>
                </w:rPr>
                <w:t>§18.10.1.57 mp (@pPos, @pLen, @nameLen) (complex type: CT_MemberProperty)</w:t>
              </w:r>
            </w:p>
            <w:p w14:paraId="5545FE79" w14:textId="6DF5B901" w:rsidR="00416FC7" w:rsidRDefault="00416FC7" w:rsidP="00416FC7">
              <w:pPr>
                <w:numPr>
                  <w:ilvl w:val="0"/>
                  <w:numId w:val="61"/>
                </w:numPr>
                <w:spacing w:after="0" w:line="240" w:lineRule="auto"/>
                <w:rPr>
                  <w:lang w:val="en-GB"/>
                </w:rPr>
              </w:pPr>
              <w:r>
                <w:rPr>
                  <w:lang w:val="en-GB"/>
                </w:rPr>
                <w:t>§18.10.1.69 pivotField (@dataSourceSort, @numFmtId) (complex type: CT_PivotField)</w:t>
              </w:r>
            </w:p>
            <w:p w14:paraId="794053C7" w14:textId="2CEC4664" w:rsidR="00416FC7" w:rsidRDefault="00416FC7" w:rsidP="00416FC7">
              <w:pPr>
                <w:numPr>
                  <w:ilvl w:val="0"/>
                  <w:numId w:val="61"/>
                </w:numPr>
                <w:spacing w:after="0" w:line="240" w:lineRule="auto"/>
                <w:rPr>
                  <w:lang w:val="en-GB"/>
                </w:rPr>
              </w:pPr>
              <w:r>
                <w:rPr>
                  <w:lang w:val="en-GB"/>
                </w:rPr>
                <w:t>§18.10.1.73 pivotTableDefinition (@applyAlignmentFormats, @applyBorderFormats, @applyFontFormats, @applyNumberFormats, @applyPatternFormats, @applyWidthHeightFormats, @dataPosition) (complex type: CT_pivotTableDefinition)</w:t>
              </w:r>
            </w:p>
            <w:p w14:paraId="33DAE1BE" w14:textId="585C0B00" w:rsidR="00416FC7" w:rsidRDefault="00416FC7" w:rsidP="00416FC7">
              <w:pPr>
                <w:numPr>
                  <w:ilvl w:val="0"/>
                  <w:numId w:val="61"/>
                </w:numPr>
                <w:spacing w:after="0" w:line="240" w:lineRule="auto"/>
                <w:rPr>
                  <w:lang w:val="en-GB"/>
                </w:rPr>
              </w:pPr>
              <w:r>
                <w:rPr>
                  <w:lang w:val="en-GB"/>
                </w:rPr>
                <w:t>§18.10.1.74 pivotTableStyleInfo (@showColHeaders, @showColStripes, @showRowHeaders, @showRowStripes) (CT_PivotTableStyle)</w:t>
              </w:r>
            </w:p>
            <w:p w14:paraId="6F1317F4" w14:textId="579A2A7E" w:rsidR="00416FC7" w:rsidRDefault="00416FC7" w:rsidP="00416FC7">
              <w:pPr>
                <w:numPr>
                  <w:ilvl w:val="0"/>
                  <w:numId w:val="61"/>
                </w:numPr>
                <w:spacing w:after="0" w:line="240" w:lineRule="auto"/>
                <w:rPr>
                  <w:lang w:val="en-GB"/>
                </w:rPr>
              </w:pPr>
              <w:r>
                <w:rPr>
                  <w:lang w:val="en-GB"/>
                </w:rPr>
                <w:t>§18.10.1.88 set (@count) () (complex type: CT_Set)</w:t>
              </w:r>
            </w:p>
            <w:p w14:paraId="7DB9E1F6" w14:textId="15AA0A53" w:rsidR="00CE2B5D" w:rsidRPr="00416FC7" w:rsidRDefault="00416FC7" w:rsidP="00977159">
              <w:pPr>
                <w:numPr>
                  <w:ilvl w:val="0"/>
                  <w:numId w:val="61"/>
                </w:numPr>
                <w:spacing w:after="0" w:line="240" w:lineRule="auto"/>
                <w:rPr>
                  <w:lang w:val="en-GB"/>
                </w:rPr>
              </w:pPr>
              <w:r>
                <w:rPr>
                  <w:lang w:val="en-GB"/>
                </w:rPr>
                <w:t>§18.11.1.1 header (@maxRId, @minRId) (complex type: CT_RevisionHeader)</w:t>
              </w:r>
              <w:r>
                <w:t xml:space="preserve"> </w:t>
              </w:r>
            </w:p>
          </w:sdtContent>
        </w:sdt>
        <w:p w14:paraId="5F1EA62F"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35DA30D1" w14:textId="5ADA5ED8" w:rsidR="00CE2B5D" w:rsidRPr="005E0085" w:rsidRDefault="00416FC7" w:rsidP="00FA4DF3">
              <w:pPr>
                <w:pStyle w:val="NormalWeb"/>
              </w:pPr>
              <w:r>
                <w:t>In each case implementation behaviours and implementer notes need to be reviewed before deciding whether the standard can be improved by specifying default values.</w:t>
              </w:r>
            </w:p>
          </w:sdtContent>
        </w:sdt>
        <w:p w14:paraId="0E8F904E" w14:textId="77777777" w:rsidR="004A21E5" w:rsidRDefault="002A1164" w:rsidP="002A1164">
          <w:pPr>
            <w:rPr>
              <w:rStyle w:val="FieldTitle"/>
            </w:rPr>
          </w:pPr>
          <w:r w:rsidRPr="001860CF">
            <w:rPr>
              <w:rStyle w:val="FieldTitle"/>
            </w:rPr>
            <w:t>Schema Change(s) Needed:</w:t>
          </w:r>
        </w:p>
        <w:p w14:paraId="349FB3AA" w14:textId="77777777" w:rsidR="002A1164" w:rsidRPr="007D6420" w:rsidRDefault="00AC4050"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Yes/No</w:t>
              </w:r>
            </w:sdtContent>
          </w:sdt>
        </w:p>
        <w:p w14:paraId="6DBC447E" w14:textId="77777777" w:rsidR="00F22746" w:rsidRDefault="002A1164" w:rsidP="00F22746">
          <w:pPr>
            <w:rPr>
              <w:b/>
            </w:rPr>
          </w:pPr>
          <w:r w:rsidRPr="00F22746">
            <w:rPr>
              <w:b/>
            </w:rPr>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sdt>
              <w:sdtPr>
                <w:rPr>
                  <w:sz w:val="24"/>
                  <w:szCs w:val="24"/>
                </w:rPr>
                <w:alias w:val="Editor's Response"/>
                <w:tag w:val="Editor's Response"/>
                <w:id w:val="-634021796"/>
                <w:placeholder>
                  <w:docPart w:val="4AFB46A836974B79BFD22B5973EDC8D1"/>
                </w:placeholder>
              </w:sdtPr>
              <w:sdtEndPr/>
              <w:sdtContent>
                <w:p w14:paraId="1A109B3A" w14:textId="49F5C18E" w:rsidR="00B969FA" w:rsidRPr="005E7BEE" w:rsidRDefault="00B969FA" w:rsidP="00977159">
                  <w:pPr>
                    <w:keepNext/>
                    <w:keepLines/>
                    <w:rPr>
                      <w:b/>
                    </w:rPr>
                  </w:pPr>
                  <w:r w:rsidRPr="005E7BEE">
                    <w:rPr>
                      <w:b/>
                    </w:rPr>
                    <w:t>2017-0</w:t>
                  </w:r>
                  <w:r>
                    <w:rPr>
                      <w:b/>
                    </w:rPr>
                    <w:t>8</w:t>
                  </w:r>
                  <w:r w:rsidRPr="005E7BEE">
                    <w:rPr>
                      <w:b/>
                    </w:rPr>
                    <w:t>-</w:t>
                  </w:r>
                  <w:r w:rsidR="00977159">
                    <w:rPr>
                      <w:b/>
                    </w:rPr>
                    <w:t>30</w:t>
                  </w:r>
                  <w:r w:rsidRPr="005E7BEE">
                    <w:rPr>
                      <w:b/>
                    </w:rPr>
                    <w:t xml:space="preserve"> </w:t>
                  </w:r>
                  <w:r>
                    <w:rPr>
                      <w:b/>
                    </w:rPr>
                    <w:t>Francis Cave</w:t>
                  </w:r>
                  <w:r w:rsidRPr="005E7BEE">
                    <w:rPr>
                      <w:b/>
                    </w:rPr>
                    <w:t>:</w:t>
                  </w:r>
                </w:p>
                <w:p w14:paraId="68FCBAB1" w14:textId="66B42DA7" w:rsidR="00B969FA" w:rsidRDefault="00977159" w:rsidP="00B969FA">
                  <w:pPr>
                    <w:rPr>
                      <w:lang w:val="en-GB"/>
                    </w:rPr>
                  </w:pPr>
                  <w:r>
                    <w:rPr>
                      <w:lang w:val="en-GB"/>
                    </w:rPr>
                    <w:t>The Microsoft implementer notes</w:t>
                  </w:r>
                  <w:r w:rsidR="00B969FA">
                    <w:rPr>
                      <w:lang w:val="en-GB"/>
                    </w:rPr>
                    <w:t xml:space="preserve"> </w:t>
                  </w:r>
                  <w:r>
                    <w:rPr>
                      <w:lang w:val="en-GB"/>
                    </w:rPr>
                    <w:t>(MS-OI29500) state</w:t>
                  </w:r>
                  <w:r w:rsidR="00B969FA">
                    <w:rPr>
                      <w:lang w:val="en-GB"/>
                    </w:rPr>
                    <w:t xml:space="preserve"> that Excel uses a default value not specified by the standard:</w:t>
                  </w:r>
                </w:p>
                <w:p w14:paraId="42931475" w14:textId="77777777" w:rsidR="00B969FA" w:rsidRDefault="00B969FA" w:rsidP="00B969FA">
                  <w:pPr>
                    <w:numPr>
                      <w:ilvl w:val="0"/>
                      <w:numId w:val="61"/>
                    </w:numPr>
                    <w:spacing w:after="0" w:line="240" w:lineRule="auto"/>
                    <w:rPr>
                      <w:lang w:val="en-GB"/>
                    </w:rPr>
                  </w:pPr>
                  <w:r>
                    <w:rPr>
                      <w:lang w:val="en-GB"/>
                    </w:rPr>
                    <w:t xml:space="preserve">§18.2.2 calcPr (@calcId) (complex type: CT_CalcPr) – default value </w:t>
                  </w:r>
                  <w:r>
                    <w:rPr>
                      <w:rFonts w:ascii="Consolas" w:hAnsi="Consolas" w:cs="Consolas"/>
                      <w:b/>
                      <w:bCs/>
                      <w:lang w:val="en-GB"/>
                    </w:rPr>
                    <w:t>0</w:t>
                  </w:r>
                </w:p>
                <w:p w14:paraId="1F84A585" w14:textId="77777777" w:rsidR="00B969FA" w:rsidRDefault="00B969FA" w:rsidP="00B969FA">
                  <w:pPr>
                    <w:numPr>
                      <w:ilvl w:val="0"/>
                      <w:numId w:val="61"/>
                    </w:numPr>
                    <w:spacing w:after="0" w:line="240" w:lineRule="auto"/>
                    <w:rPr>
                      <w:lang w:val="en-GB"/>
                    </w:rPr>
                  </w:pPr>
                  <w:r>
                    <w:rPr>
                      <w:lang w:val="en-GB"/>
                    </w:rPr>
                    <w:t xml:space="preserve">§18.2.28 workbookPr (@defaultThemeVersion) (complex type: CT_WorkbookPr) – default value </w:t>
                  </w:r>
                  <w:r>
                    <w:rPr>
                      <w:rFonts w:ascii="Consolas" w:hAnsi="Consolas" w:cs="Consolas"/>
                      <w:b/>
                      <w:bCs/>
                      <w:lang w:val="en-GB"/>
                    </w:rPr>
                    <w:t>0</w:t>
                  </w:r>
                </w:p>
                <w:p w14:paraId="3ECEB110" w14:textId="77777777" w:rsidR="00B969FA" w:rsidRDefault="00B969FA" w:rsidP="00B969FA">
                  <w:pPr>
                    <w:numPr>
                      <w:ilvl w:val="0"/>
                      <w:numId w:val="61"/>
                    </w:numPr>
                    <w:spacing w:after="0" w:line="240" w:lineRule="auto"/>
                    <w:rPr>
                      <w:lang w:val="en-GB"/>
                    </w:rPr>
                  </w:pPr>
                  <w:r>
                    <w:rPr>
                      <w:lang w:val="en-GB"/>
                    </w:rPr>
                    <w:t xml:space="preserve">§18.3.1.10 cfRule (@rank) (complex type: CT_CfRule) – default value </w:t>
                  </w:r>
                  <w:r>
                    <w:rPr>
                      <w:rFonts w:ascii="Consolas" w:hAnsi="Consolas" w:cs="Consolas"/>
                      <w:b/>
                      <w:bCs/>
                      <w:lang w:val="en-GB"/>
                    </w:rPr>
                    <w:t>0</w:t>
                  </w:r>
                </w:p>
                <w:p w14:paraId="1A6B932C" w14:textId="77777777" w:rsidR="00B969FA" w:rsidRDefault="00B969FA" w:rsidP="00B969FA">
                  <w:pPr>
                    <w:numPr>
                      <w:ilvl w:val="0"/>
                      <w:numId w:val="61"/>
                    </w:numPr>
                    <w:spacing w:after="0" w:line="240" w:lineRule="auto"/>
                    <w:rPr>
                      <w:lang w:val="en-GB"/>
                    </w:rPr>
                  </w:pPr>
                  <w:r>
                    <w:rPr>
                      <w:lang w:val="en-GB"/>
                    </w:rPr>
                    <w:t xml:space="preserve">§18.3.1.33 dataValidations (@count, @xWindow, @yWindow) (complex type: CT_DataValidations) – in each case default value </w:t>
                  </w:r>
                  <w:r>
                    <w:rPr>
                      <w:rFonts w:ascii="Consolas" w:hAnsi="Consolas" w:cs="Consolas"/>
                      <w:b/>
                      <w:bCs/>
                      <w:lang w:val="en-GB"/>
                    </w:rPr>
                    <w:t>0</w:t>
                  </w:r>
                </w:p>
                <w:p w14:paraId="2BF9C917" w14:textId="77777777" w:rsidR="00B969FA" w:rsidRDefault="00B969FA" w:rsidP="00B969FA">
                  <w:pPr>
                    <w:numPr>
                      <w:ilvl w:val="0"/>
                      <w:numId w:val="61"/>
                    </w:numPr>
                    <w:spacing w:after="0" w:line="240" w:lineRule="auto"/>
                    <w:rPr>
                      <w:lang w:val="en-GB"/>
                    </w:rPr>
                  </w:pPr>
                  <w:r>
                    <w:rPr>
                      <w:lang w:val="en-GB"/>
                    </w:rPr>
                    <w:t xml:space="preserve">§18.3.1.52 inputCells (@numFmtId) (complex type: CT_InputCells) – default value </w:t>
                  </w:r>
                  <w:r>
                    <w:rPr>
                      <w:rFonts w:ascii="Consolas" w:hAnsi="Consolas" w:cs="Consolas"/>
                      <w:b/>
                      <w:bCs/>
                      <w:lang w:val="en-GB"/>
                    </w:rPr>
                    <w:t>0</w:t>
                  </w:r>
                </w:p>
                <w:p w14:paraId="28A4437C" w14:textId="77777777" w:rsidR="00B969FA" w:rsidRDefault="00B969FA" w:rsidP="00B969FA">
                  <w:pPr>
                    <w:numPr>
                      <w:ilvl w:val="0"/>
                      <w:numId w:val="61"/>
                    </w:numPr>
                    <w:spacing w:after="0" w:line="240" w:lineRule="auto"/>
                    <w:rPr>
                      <w:lang w:val="en-GB"/>
                    </w:rPr>
                  </w:pPr>
                  <w:r>
                    <w:rPr>
                      <w:lang w:val="en-GB"/>
                    </w:rPr>
                    <w:t xml:space="preserve">§18.3.1.68 pivotArea (@field) (complex type: CT_PivotArea) – default value </w:t>
                  </w:r>
                  <w:r>
                    <w:rPr>
                      <w:rFonts w:ascii="Consolas" w:hAnsi="Consolas" w:cs="Consolas"/>
                      <w:b/>
                      <w:bCs/>
                      <w:lang w:val="en-GB"/>
                    </w:rPr>
                    <w:t>–1</w:t>
                  </w:r>
                </w:p>
                <w:p w14:paraId="40BDB481" w14:textId="77777777" w:rsidR="00B969FA" w:rsidRDefault="00B969FA" w:rsidP="00B969FA">
                  <w:pPr>
                    <w:numPr>
                      <w:ilvl w:val="0"/>
                      <w:numId w:val="61"/>
                    </w:numPr>
                    <w:spacing w:after="0" w:line="240" w:lineRule="auto"/>
                    <w:rPr>
                      <w:lang w:val="en-GB"/>
                    </w:rPr>
                  </w:pPr>
                  <w:r>
                    <w:rPr>
                      <w:lang w:val="en-GB"/>
                    </w:rPr>
                    <w:t xml:space="preserve">§18.3.1.78 selection (@activeCell) (complex type: CT_Selection) – default value </w:t>
                  </w:r>
                  <w:r>
                    <w:rPr>
                      <w:rFonts w:ascii="Consolas" w:hAnsi="Consolas" w:cs="Consolas"/>
                      <w:b/>
                      <w:bCs/>
                      <w:lang w:val="en-GB"/>
                    </w:rPr>
                    <w:t>A1</w:t>
                  </w:r>
                </w:p>
                <w:p w14:paraId="48C28524" w14:textId="77777777" w:rsidR="00B969FA" w:rsidRDefault="00B969FA" w:rsidP="00B969FA">
                  <w:pPr>
                    <w:numPr>
                      <w:ilvl w:val="0"/>
                      <w:numId w:val="61"/>
                    </w:numPr>
                    <w:spacing w:after="0" w:line="240" w:lineRule="auto"/>
                    <w:rPr>
                      <w:lang w:val="en-GB"/>
                    </w:rPr>
                  </w:pPr>
                  <w:r>
                    <w:rPr>
                      <w:lang w:val="en-GB"/>
                    </w:rPr>
                    <w:t xml:space="preserve">§18.3.1.93 tabColor (@auto) (complex type: CT_TabColor) – default value </w:t>
                  </w:r>
                  <w:r>
                    <w:rPr>
                      <w:rFonts w:ascii="Consolas" w:hAnsi="Consolas" w:cs="Consolas"/>
                      <w:b/>
                      <w:bCs/>
                      <w:lang w:val="en-GB"/>
                    </w:rPr>
                    <w:t>false</w:t>
                  </w:r>
                </w:p>
                <w:p w14:paraId="697A8C78" w14:textId="77777777" w:rsidR="00B969FA" w:rsidRDefault="00B969FA" w:rsidP="00B969FA">
                  <w:pPr>
                    <w:numPr>
                      <w:ilvl w:val="0"/>
                      <w:numId w:val="61"/>
                    </w:numPr>
                    <w:spacing w:after="0" w:line="240" w:lineRule="auto"/>
                    <w:rPr>
                      <w:lang w:val="en-GB"/>
                    </w:rPr>
                  </w:pPr>
                  <w:r>
                    <w:rPr>
                      <w:lang w:val="en-GB"/>
                    </w:rPr>
                    <w:t xml:space="preserve">§18.3.2.4 dateGroupItem (@day, @month) (complex type: CT_DateGroupItem) – default value </w:t>
                  </w:r>
                  <w:r>
                    <w:rPr>
                      <w:rFonts w:ascii="Consolas" w:hAnsi="Consolas" w:cs="Consolas"/>
                      <w:b/>
                      <w:bCs/>
                      <w:lang w:val="en-GB"/>
                    </w:rPr>
                    <w:t>1</w:t>
                  </w:r>
                  <w:r>
                    <w:rPr>
                      <w:lang w:val="en-GB"/>
                    </w:rPr>
                    <w:t xml:space="preserve"> [Note: @year is required]</w:t>
                  </w:r>
                </w:p>
                <w:p w14:paraId="1D6BC1FF" w14:textId="77777777" w:rsidR="00B969FA" w:rsidRDefault="00B969FA" w:rsidP="00B969FA">
                  <w:pPr>
                    <w:numPr>
                      <w:ilvl w:val="0"/>
                      <w:numId w:val="61"/>
                    </w:numPr>
                    <w:spacing w:after="0" w:line="240" w:lineRule="auto"/>
                    <w:rPr>
                      <w:lang w:val="en-GB"/>
                    </w:rPr>
                  </w:pPr>
                  <w:r>
                    <w:rPr>
                      <w:lang w:val="en-GB"/>
                    </w:rPr>
                    <w:t xml:space="preserve">§18.3.2.4 dateGroupItem (@hour, @minute, @second) (complex type: CT_DateGroupItem) – default value </w:t>
                  </w:r>
                  <w:r>
                    <w:rPr>
                      <w:rFonts w:ascii="Consolas" w:hAnsi="Consolas" w:cs="Consolas"/>
                      <w:b/>
                      <w:bCs/>
                      <w:lang w:val="en-GB"/>
                    </w:rPr>
                    <w:t>0</w:t>
                  </w:r>
                </w:p>
                <w:p w14:paraId="49FE046A" w14:textId="77777777" w:rsidR="00B969FA" w:rsidRDefault="00B969FA" w:rsidP="00B969FA">
                  <w:pPr>
                    <w:numPr>
                      <w:ilvl w:val="0"/>
                      <w:numId w:val="61"/>
                    </w:numPr>
                    <w:spacing w:after="0" w:line="240" w:lineRule="auto"/>
                    <w:rPr>
                      <w:lang w:val="en-GB"/>
                    </w:rPr>
                  </w:pPr>
                  <w:r>
                    <w:rPr>
                      <w:lang w:val="en-GB"/>
                    </w:rPr>
                    <w:t xml:space="preserve">§18.5.1.2 table (@connectionId) (complex type: CT_Table) – default value </w:t>
                  </w:r>
                  <w:r>
                    <w:rPr>
                      <w:rFonts w:ascii="Consolas" w:hAnsi="Consolas" w:cs="Consolas"/>
                      <w:b/>
                      <w:bCs/>
                      <w:lang w:val="en-GB"/>
                    </w:rPr>
                    <w:t>0</w:t>
                  </w:r>
                  <w:r>
                    <w:rPr>
                      <w:lang w:val="en-GB"/>
                    </w:rPr>
                    <w:br/>
                    <w:t xml:space="preserve">[Nit note: The description of this attribute contains poorly-worded normative text: “This shall only be used for tables that are based </w:t>
                  </w:r>
                  <w:r>
                    <w:rPr>
                      <w:strike/>
                      <w:color w:val="FF0000"/>
                      <w:lang w:val="en-GB"/>
                    </w:rPr>
                    <w:t>off of xml</w:t>
                  </w:r>
                  <w:r>
                    <w:rPr>
                      <w:color w:val="0070C0"/>
                      <w:u w:val="single"/>
                      <w:lang w:val="en-GB"/>
                    </w:rPr>
                    <w:t>upon XML</w:t>
                  </w:r>
                  <w:r>
                    <w:rPr>
                      <w:lang w:val="en-GB"/>
                    </w:rPr>
                    <w:t xml:space="preserve"> maps.”]</w:t>
                  </w:r>
                </w:p>
                <w:p w14:paraId="30FC39DD" w14:textId="77777777" w:rsidR="00B969FA" w:rsidRDefault="00B969FA" w:rsidP="00B969FA">
                  <w:pPr>
                    <w:numPr>
                      <w:ilvl w:val="0"/>
                      <w:numId w:val="61"/>
                    </w:numPr>
                    <w:spacing w:after="0" w:line="240" w:lineRule="auto"/>
                    <w:rPr>
                      <w:lang w:val="en-GB"/>
                    </w:rPr>
                  </w:pPr>
                  <w:r>
                    <w:rPr>
                      <w:lang w:val="en-GB"/>
                    </w:rPr>
                    <w:t xml:space="preserve">§18.8.1 alignment (@horizontal, @vertical) (complex type: CT_CellAlignment) – default values of </w:t>
                  </w:r>
                  <w:r>
                    <w:rPr>
                      <w:rFonts w:ascii="Consolas" w:hAnsi="Consolas" w:cs="Consolas"/>
                      <w:b/>
                      <w:bCs/>
                      <w:lang w:val="en-GB"/>
                    </w:rPr>
                    <w:t>general</w:t>
                  </w:r>
                  <w:r>
                    <w:rPr>
                      <w:lang w:val="en-GB"/>
                    </w:rPr>
                    <w:t xml:space="preserve"> and </w:t>
                  </w:r>
                  <w:r>
                    <w:rPr>
                      <w:rFonts w:ascii="Consolas" w:hAnsi="Consolas" w:cs="Consolas"/>
                      <w:b/>
                      <w:bCs/>
                      <w:lang w:val="en-GB"/>
                    </w:rPr>
                    <w:t>bottom</w:t>
                  </w:r>
                  <w:r>
                    <w:rPr>
                      <w:lang w:val="en-GB"/>
                    </w:rPr>
                    <w:t xml:space="preserve"> respectively</w:t>
                  </w:r>
                </w:p>
                <w:p w14:paraId="5744A794" w14:textId="77777777" w:rsidR="00B969FA" w:rsidRDefault="00B969FA" w:rsidP="00B969FA">
                  <w:pPr>
                    <w:numPr>
                      <w:ilvl w:val="0"/>
                      <w:numId w:val="61"/>
                    </w:numPr>
                    <w:spacing w:after="0" w:line="240" w:lineRule="auto"/>
                    <w:rPr>
                      <w:lang w:val="en-GB"/>
                    </w:rPr>
                  </w:pPr>
                  <w:r>
                    <w:rPr>
                      <w:lang w:val="en-GB"/>
                    </w:rPr>
                    <w:lastRenderedPageBreak/>
                    <w:t xml:space="preserve">§18.8.1 alignment (@indent, @relativeIndent, @textRotation) (complex type: CT_CellAlignment) – in each case default value </w:t>
                  </w:r>
                  <w:r>
                    <w:rPr>
                      <w:rFonts w:ascii="Consolas" w:hAnsi="Consolas" w:cs="Consolas"/>
                      <w:b/>
                      <w:bCs/>
                      <w:lang w:val="en-GB"/>
                    </w:rPr>
                    <w:t>0</w:t>
                  </w:r>
                </w:p>
                <w:p w14:paraId="7FDDBFDD" w14:textId="77777777" w:rsidR="00B969FA" w:rsidRDefault="00B969FA" w:rsidP="00B969FA">
                  <w:pPr>
                    <w:numPr>
                      <w:ilvl w:val="0"/>
                      <w:numId w:val="61"/>
                    </w:numPr>
                    <w:spacing w:after="0" w:line="240" w:lineRule="auto"/>
                    <w:rPr>
                      <w:lang w:val="en-GB"/>
                    </w:rPr>
                  </w:pPr>
                  <w:r>
                    <w:rPr>
                      <w:lang w:val="en-GB"/>
                    </w:rPr>
                    <w:t xml:space="preserve">§18.8.1 alignment @justifyLastLine, @readingOrder, @shrinkToFit, (@wrapText) (complex type: CT_CellAlignment) – in each case default value </w:t>
                  </w:r>
                  <w:r>
                    <w:rPr>
                      <w:rFonts w:ascii="Consolas" w:hAnsi="Consolas" w:cs="Consolas"/>
                      <w:b/>
                      <w:bCs/>
                      <w:lang w:val="en-GB"/>
                    </w:rPr>
                    <w:t>false</w:t>
                  </w:r>
                </w:p>
                <w:p w14:paraId="79167F16" w14:textId="77777777" w:rsidR="00B969FA" w:rsidRDefault="00B969FA" w:rsidP="00B969FA">
                  <w:pPr>
                    <w:numPr>
                      <w:ilvl w:val="0"/>
                      <w:numId w:val="61"/>
                    </w:numPr>
                    <w:spacing w:after="0" w:line="240" w:lineRule="auto"/>
                    <w:rPr>
                      <w:lang w:val="en-GB"/>
                    </w:rPr>
                  </w:pPr>
                  <w:r>
                    <w:rPr>
                      <w:lang w:val="en-GB"/>
                    </w:rPr>
                    <w:t xml:space="preserve">§18.8.4 border (@diagonalDown, @diagonalUp) (complex type: CT_Border) – in each case default value </w:t>
                  </w:r>
                  <w:r>
                    <w:rPr>
                      <w:rFonts w:ascii="Consolas" w:hAnsi="Consolas" w:cs="Consolas"/>
                      <w:b/>
                      <w:bCs/>
                      <w:lang w:val="en-GB"/>
                    </w:rPr>
                    <w:t>false</w:t>
                  </w:r>
                </w:p>
                <w:p w14:paraId="6F166E4B" w14:textId="77777777" w:rsidR="00B969FA" w:rsidRDefault="00B969FA" w:rsidP="00B969FA">
                  <w:pPr>
                    <w:numPr>
                      <w:ilvl w:val="0"/>
                      <w:numId w:val="61"/>
                    </w:numPr>
                    <w:spacing w:after="0" w:line="240" w:lineRule="auto"/>
                    <w:rPr>
                      <w:lang w:val="en-GB"/>
                    </w:rPr>
                  </w:pPr>
                  <w:r>
                    <w:rPr>
                      <w:lang w:val="en-GB"/>
                    </w:rPr>
                    <w:t xml:space="preserve">§18.8.33 protection (@hidden @locked) (complex type: CT_CellProtection) – default values of </w:t>
                  </w:r>
                  <w:r>
                    <w:rPr>
                      <w:rFonts w:ascii="Consolas" w:hAnsi="Consolas" w:cs="Consolas"/>
                      <w:b/>
                      <w:bCs/>
                      <w:lang w:val="en-GB"/>
                    </w:rPr>
                    <w:t>false</w:t>
                  </w:r>
                  <w:r>
                    <w:rPr>
                      <w:lang w:val="en-GB"/>
                    </w:rPr>
                    <w:t xml:space="preserve"> and </w:t>
                  </w:r>
                  <w:r>
                    <w:rPr>
                      <w:rFonts w:ascii="Consolas" w:hAnsi="Consolas" w:cs="Consolas"/>
                      <w:b/>
                      <w:bCs/>
                      <w:lang w:val="en-GB"/>
                    </w:rPr>
                    <w:t>true</w:t>
                  </w:r>
                  <w:r>
                    <w:rPr>
                      <w:lang w:val="en-GB"/>
                    </w:rPr>
                    <w:t xml:space="preserve"> respectively</w:t>
                  </w:r>
                </w:p>
                <w:p w14:paraId="4A922476" w14:textId="77777777" w:rsidR="00B969FA" w:rsidRDefault="00B969FA" w:rsidP="00B969FA">
                  <w:pPr>
                    <w:numPr>
                      <w:ilvl w:val="0"/>
                      <w:numId w:val="61"/>
                    </w:numPr>
                    <w:spacing w:after="0" w:line="240" w:lineRule="auto"/>
                    <w:rPr>
                      <w:lang w:val="en-GB"/>
                    </w:rPr>
                  </w:pPr>
                  <w:r>
                    <w:rPr>
                      <w:lang w:val="en-GB"/>
                    </w:rPr>
                    <w:t xml:space="preserve">§18.10.1.33 filter (@iMeasureFld) (complex type: CT_PivotFilter) – default value </w:t>
                  </w:r>
                  <w:r>
                    <w:rPr>
                      <w:rFonts w:ascii="Consolas" w:hAnsi="Consolas" w:cs="Consolas"/>
                      <w:b/>
                      <w:bCs/>
                      <w:lang w:val="en-GB"/>
                    </w:rPr>
                    <w:t>0</w:t>
                  </w:r>
                </w:p>
                <w:p w14:paraId="638DAE63" w14:textId="77777777" w:rsidR="00B969FA" w:rsidRDefault="00B969FA" w:rsidP="00B969FA">
                  <w:pPr>
                    <w:numPr>
                      <w:ilvl w:val="0"/>
                      <w:numId w:val="61"/>
                    </w:numPr>
                    <w:spacing w:after="0" w:line="240" w:lineRule="auto"/>
                    <w:rPr>
                      <w:lang w:val="en-GB"/>
                    </w:rPr>
                  </w:pPr>
                  <w:r>
                    <w:rPr>
                      <w:lang w:val="en-GB"/>
                    </w:rPr>
                    <w:t xml:space="preserve">§18.10.1.57 mp (@pPos, @pLen, @nameLen) (complex type: CT_MemberProperty) – in each case default value </w:t>
                  </w:r>
                  <w:r>
                    <w:rPr>
                      <w:rFonts w:ascii="Consolas" w:hAnsi="Consolas" w:cs="Consolas"/>
                      <w:b/>
                      <w:bCs/>
                      <w:lang w:val="en-GB"/>
                    </w:rPr>
                    <w:t>0</w:t>
                  </w:r>
                </w:p>
                <w:p w14:paraId="4D67FEE8" w14:textId="77777777" w:rsidR="00B969FA" w:rsidRDefault="00B969FA" w:rsidP="00B969FA">
                  <w:pPr>
                    <w:numPr>
                      <w:ilvl w:val="0"/>
                      <w:numId w:val="61"/>
                    </w:numPr>
                    <w:spacing w:after="0" w:line="240" w:lineRule="auto"/>
                    <w:rPr>
                      <w:lang w:val="en-GB"/>
                    </w:rPr>
                  </w:pPr>
                  <w:r>
                    <w:rPr>
                      <w:lang w:val="en-GB"/>
                    </w:rPr>
                    <w:t xml:space="preserve">§18.10.1.69 pivotField (@dataSourceSort, @numFmtId) (complex type: CT_PivotField) – default values of </w:t>
                  </w:r>
                  <w:r>
                    <w:rPr>
                      <w:rFonts w:ascii="Consolas" w:hAnsi="Consolas" w:cs="Consolas"/>
                      <w:b/>
                      <w:bCs/>
                      <w:lang w:val="en-GB"/>
                    </w:rPr>
                    <w:t>false</w:t>
                  </w:r>
                  <w:r>
                    <w:rPr>
                      <w:lang w:val="en-GB"/>
                    </w:rPr>
                    <w:t xml:space="preserve"> and </w:t>
                  </w:r>
                  <w:r>
                    <w:rPr>
                      <w:rFonts w:ascii="Consolas" w:hAnsi="Consolas" w:cs="Consolas"/>
                      <w:b/>
                      <w:bCs/>
                      <w:lang w:val="en-GB"/>
                    </w:rPr>
                    <w:t>true</w:t>
                  </w:r>
                  <w:r>
                    <w:rPr>
                      <w:lang w:val="en-GB"/>
                    </w:rPr>
                    <w:t xml:space="preserve"> respectively</w:t>
                  </w:r>
                </w:p>
                <w:p w14:paraId="29AAD62F" w14:textId="77777777" w:rsidR="00B969FA" w:rsidRDefault="00B969FA" w:rsidP="00B969FA">
                  <w:pPr>
                    <w:numPr>
                      <w:ilvl w:val="0"/>
                      <w:numId w:val="61"/>
                    </w:numPr>
                    <w:spacing w:after="0" w:line="240" w:lineRule="auto"/>
                    <w:rPr>
                      <w:lang w:val="en-GB"/>
                    </w:rPr>
                  </w:pPr>
                  <w:r>
                    <w:rPr>
                      <w:lang w:val="en-GB"/>
                    </w:rPr>
                    <w:t xml:space="preserve">§18.10.1.73 pivotTableDefinition (@applyAlignmentFormats, @applyBorderFormats, @applyFontFormats, @applyNumberFormats, @applyPatternFormats, @applyWidthHeightFormats, @dataPosition) (complex type: CT_pivotTableDefinition) – in each case default value </w:t>
                  </w:r>
                  <w:r>
                    <w:rPr>
                      <w:rFonts w:ascii="Consolas" w:hAnsi="Consolas" w:cs="Consolas"/>
                      <w:b/>
                      <w:bCs/>
                      <w:lang w:val="en-GB"/>
                    </w:rPr>
                    <w:t>0</w:t>
                  </w:r>
                  <w:r>
                    <w:rPr>
                      <w:lang w:val="en-GB"/>
                    </w:rPr>
                    <w:br/>
                    <w:t>[Nit note: inconsistency in name of complex type – should ideally be CT_PivotTableDefinition – probably not worth correcting, unfortunately…]</w:t>
                  </w:r>
                </w:p>
                <w:p w14:paraId="19E7A2FE" w14:textId="77777777" w:rsidR="00B969FA" w:rsidRDefault="00B969FA" w:rsidP="00B969FA">
                  <w:pPr>
                    <w:numPr>
                      <w:ilvl w:val="0"/>
                      <w:numId w:val="61"/>
                    </w:numPr>
                    <w:spacing w:after="0" w:line="240" w:lineRule="auto"/>
                    <w:rPr>
                      <w:lang w:val="en-GB"/>
                    </w:rPr>
                  </w:pPr>
                  <w:r>
                    <w:rPr>
                      <w:lang w:val="en-GB"/>
                    </w:rPr>
                    <w:t xml:space="preserve">§18.10.1.74 pivotTableStyleInfo (@showColHeaders, @showColStripes, @showRowHeaders, @showRowStripes) (CT_PivotTableStyle) – in each case default value </w:t>
                  </w:r>
                  <w:r>
                    <w:rPr>
                      <w:rFonts w:ascii="Consolas" w:hAnsi="Consolas" w:cs="Consolas"/>
                      <w:b/>
                      <w:bCs/>
                      <w:lang w:val="en-GB"/>
                    </w:rPr>
                    <w:t>0</w:t>
                  </w:r>
                </w:p>
                <w:p w14:paraId="66649C8C" w14:textId="77777777" w:rsidR="00B969FA" w:rsidRDefault="00B969FA" w:rsidP="00B969FA">
                  <w:pPr>
                    <w:numPr>
                      <w:ilvl w:val="0"/>
                      <w:numId w:val="61"/>
                    </w:numPr>
                    <w:spacing w:after="0" w:line="240" w:lineRule="auto"/>
                    <w:rPr>
                      <w:lang w:val="en-GB"/>
                    </w:rPr>
                  </w:pPr>
                  <w:r>
                    <w:rPr>
                      <w:lang w:val="en-GB"/>
                    </w:rPr>
                    <w:t xml:space="preserve">§18.10.1.88 set (@count) () (complex type: CT_Set) – default value </w:t>
                  </w:r>
                  <w:r>
                    <w:rPr>
                      <w:rFonts w:ascii="Consolas" w:hAnsi="Consolas" w:cs="Consolas"/>
                      <w:b/>
                      <w:bCs/>
                      <w:lang w:val="en-GB"/>
                    </w:rPr>
                    <w:t>4294967295</w:t>
                  </w:r>
                </w:p>
                <w:p w14:paraId="3CD6A27E" w14:textId="77777777" w:rsidR="00B969FA" w:rsidRDefault="00B969FA" w:rsidP="00B969FA">
                  <w:pPr>
                    <w:numPr>
                      <w:ilvl w:val="0"/>
                      <w:numId w:val="61"/>
                    </w:numPr>
                    <w:spacing w:after="0" w:line="240" w:lineRule="auto"/>
                    <w:rPr>
                      <w:lang w:val="en-GB"/>
                    </w:rPr>
                  </w:pPr>
                  <w:r>
                    <w:rPr>
                      <w:lang w:val="en-GB"/>
                    </w:rPr>
                    <w:t xml:space="preserve">§18.11.1.1 header (@maxRId, @minRId) (complex type: CT_RevisionHeader) – Excel uses a default value </w:t>
                  </w:r>
                  <w:r>
                    <w:rPr>
                      <w:rFonts w:ascii="Consolas" w:hAnsi="Consolas" w:cs="Consolas"/>
                      <w:b/>
                      <w:bCs/>
                      <w:lang w:val="en-GB"/>
                    </w:rPr>
                    <w:t>0</w:t>
                  </w:r>
                  <w:r>
                    <w:rPr>
                      <w:lang w:val="en-GB"/>
                    </w:rPr>
                    <w:t xml:space="preserve"> for @minRId, and a default value equal to the current value of @minRId for @maxRId</w:t>
                  </w:r>
                </w:p>
                <w:p w14:paraId="11248A60" w14:textId="77777777" w:rsidR="00B969FA" w:rsidRDefault="00B969FA" w:rsidP="00B969FA">
                  <w:pPr>
                    <w:numPr>
                      <w:ilvl w:val="0"/>
                      <w:numId w:val="61"/>
                    </w:numPr>
                    <w:spacing w:after="0" w:line="240" w:lineRule="auto"/>
                    <w:rPr>
                      <w:lang w:val="en-GB"/>
                    </w:rPr>
                  </w:pPr>
                  <w:r>
                    <w:rPr>
                      <w:lang w:val="en-GB"/>
                    </w:rPr>
                    <w:t xml:space="preserve">§18.11.1.9 rcc (@numFmtId) (complex type: CT_RevisionCellChange) – default value </w:t>
                  </w:r>
                  <w:r>
                    <w:rPr>
                      <w:rFonts w:ascii="Consolas" w:hAnsi="Consolas" w:cs="Consolas"/>
                      <w:b/>
                      <w:bCs/>
                      <w:lang w:val="en-GB"/>
                    </w:rPr>
                    <w:t>0</w:t>
                  </w:r>
                </w:p>
                <w:p w14:paraId="793D591A" w14:textId="1D1C6552" w:rsidR="00F22746" w:rsidRPr="00977159" w:rsidRDefault="00B969FA" w:rsidP="00DC1D79">
                  <w:pPr>
                    <w:numPr>
                      <w:ilvl w:val="0"/>
                      <w:numId w:val="61"/>
                    </w:numPr>
                    <w:spacing w:after="0" w:line="240" w:lineRule="auto"/>
                    <w:rPr>
                      <w:lang w:val="en-GB"/>
                    </w:rPr>
                  </w:pPr>
                  <w:r>
                    <w:rPr>
                      <w:lang w:val="en-GB"/>
                    </w:rPr>
                    <w:t xml:space="preserve">§18.16.1 DataBinding (@FileBinding) (complex type: CT_DataBinding) – default value </w:t>
                  </w:r>
                  <w:r>
                    <w:rPr>
                      <w:rFonts w:ascii="Consolas" w:hAnsi="Consolas" w:cs="Consolas"/>
                      <w:b/>
                      <w:bCs/>
                      <w:lang w:val="en-GB"/>
                    </w:rPr>
                    <w:t>false</w:t>
                  </w:r>
                </w:p>
              </w:sdtContent>
            </w:sdt>
          </w:sdtContent>
        </w:sdt>
        <w:p w14:paraId="4190333B"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362E" w14:textId="77777777" w:rsidR="00AC4050" w:rsidRDefault="00AC4050">
      <w:r>
        <w:separator/>
      </w:r>
    </w:p>
    <w:p w14:paraId="3D6C488B" w14:textId="77777777" w:rsidR="00AC4050" w:rsidRDefault="00AC4050"/>
    <w:p w14:paraId="7E27E16C" w14:textId="77777777" w:rsidR="00AC4050" w:rsidRDefault="00AC4050"/>
  </w:endnote>
  <w:endnote w:type="continuationSeparator" w:id="0">
    <w:p w14:paraId="25388C5E" w14:textId="77777777" w:rsidR="00AC4050" w:rsidRDefault="00AC4050">
      <w:r>
        <w:continuationSeparator/>
      </w:r>
    </w:p>
    <w:p w14:paraId="056DB909" w14:textId="77777777" w:rsidR="00AC4050" w:rsidRDefault="00AC4050"/>
    <w:p w14:paraId="5D603B4D" w14:textId="77777777" w:rsidR="00AC4050" w:rsidRDefault="00AC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B0B1" w14:textId="37F87EE5" w:rsidR="003F6AFF" w:rsidRDefault="00AC4050"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B15759">
          <w:rPr>
            <w:noProof/>
          </w:rPr>
          <w:t>1</w:t>
        </w:r>
        <w:r w:rsidR="00D77C72">
          <w:rPr>
            <w:noProof/>
          </w:rPr>
          <w:fldChar w:fldCharType="end"/>
        </w:r>
      </w:sdtContent>
    </w:sdt>
    <w:r w:rsidR="003F6AFF">
      <w:tab/>
    </w:r>
  </w:p>
  <w:p w14:paraId="7E3C48F1"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50FB4" w14:textId="77777777" w:rsidR="00AC4050" w:rsidRDefault="00AC4050">
      <w:r>
        <w:separator/>
      </w:r>
    </w:p>
    <w:p w14:paraId="69B85C08" w14:textId="77777777" w:rsidR="00AC4050" w:rsidRDefault="00AC4050"/>
    <w:p w14:paraId="60AF919F" w14:textId="77777777" w:rsidR="00AC4050" w:rsidRDefault="00AC4050"/>
  </w:footnote>
  <w:footnote w:type="continuationSeparator" w:id="0">
    <w:p w14:paraId="2091B18B" w14:textId="77777777" w:rsidR="00AC4050" w:rsidRDefault="00AC4050">
      <w:r>
        <w:continuationSeparator/>
      </w:r>
    </w:p>
    <w:p w14:paraId="1054D2A7" w14:textId="77777777" w:rsidR="00AC4050" w:rsidRDefault="00AC4050"/>
    <w:p w14:paraId="21220A24" w14:textId="77777777" w:rsidR="00AC4050" w:rsidRDefault="00AC4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3409"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39B2FA2"/>
    <w:multiLevelType w:val="hybridMultilevel"/>
    <w:tmpl w:val="A8B24604"/>
    <w:lvl w:ilvl="0" w:tplc="BFBE879A">
      <w:start w:val="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451A"/>
    <w:multiLevelType w:val="hybridMultilevel"/>
    <w:tmpl w:val="6DFE1182"/>
    <w:lvl w:ilvl="0" w:tplc="931E886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1"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3"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4"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5"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30"/>
  </w:num>
  <w:num w:numId="8">
    <w:abstractNumId w:val="32"/>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7"/>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5"/>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1"/>
  </w:num>
  <w:num w:numId="57">
    <w:abstractNumId w:val="6"/>
  </w:num>
  <w:num w:numId="58">
    <w:abstractNumId w:val="18"/>
  </w:num>
  <w:num w:numId="59">
    <w:abstractNumId w:val="9"/>
  </w:num>
  <w:num w:numId="60">
    <w:abstractNumId w:val="3"/>
  </w:num>
  <w:num w:numId="61">
    <w:abstractNumId w:val="29"/>
  </w:num>
  <w:num w:numId="6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4EC"/>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6859"/>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0DA"/>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D6A"/>
    <w:rsid w:val="00142EEC"/>
    <w:rsid w:val="001433BF"/>
    <w:rsid w:val="00143483"/>
    <w:rsid w:val="001434CE"/>
    <w:rsid w:val="00143791"/>
    <w:rsid w:val="00143E88"/>
    <w:rsid w:val="00144299"/>
    <w:rsid w:val="00144302"/>
    <w:rsid w:val="0014432B"/>
    <w:rsid w:val="00144463"/>
    <w:rsid w:val="00144601"/>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83"/>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3C"/>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85"/>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5A89"/>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627"/>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7723A"/>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9F"/>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23A"/>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6FC7"/>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928"/>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746"/>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659"/>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BEE"/>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8B"/>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3E2"/>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79B"/>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C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7E8"/>
    <w:rsid w:val="00695C6B"/>
    <w:rsid w:val="00695DE5"/>
    <w:rsid w:val="006968C3"/>
    <w:rsid w:val="00697067"/>
    <w:rsid w:val="00697FC8"/>
    <w:rsid w:val="006A082E"/>
    <w:rsid w:val="006A0B29"/>
    <w:rsid w:val="006A0F8A"/>
    <w:rsid w:val="006A1217"/>
    <w:rsid w:val="006A140A"/>
    <w:rsid w:val="006A1753"/>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0D2"/>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6CC9"/>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72C"/>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71"/>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3F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A8E"/>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1D1"/>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05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18F6"/>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97F"/>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2D6"/>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16F"/>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570"/>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17E"/>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19"/>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174"/>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159"/>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524"/>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B8"/>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6F5B"/>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050"/>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1D4"/>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61C"/>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34"/>
    <w:rsid w:val="00B15759"/>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9FA"/>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2E"/>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3D5C"/>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B05"/>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6AA"/>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BA6"/>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2D"/>
    <w:rsid w:val="00D231FE"/>
    <w:rsid w:val="00D237E7"/>
    <w:rsid w:val="00D2390C"/>
    <w:rsid w:val="00D239EE"/>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CA0"/>
    <w:rsid w:val="00E57F43"/>
    <w:rsid w:val="00E6021C"/>
    <w:rsid w:val="00E60815"/>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CA2"/>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7E"/>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352"/>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57C"/>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6C9"/>
    <w:rsid w:val="00EF37C7"/>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17F9E"/>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8AC"/>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64B"/>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E9B1"/>
  <w15:docId w15:val="{8F700031-3698-43D3-A50C-959C2B00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21655205">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4635903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4642808">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4830229">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33585951">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0927457">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2826796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c8ba0861dc5e4adc/Public%20Documents/2016/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7D76C22CEA6142C189BFDE6F9E1787A2"/>
        <w:category>
          <w:name w:val="General"/>
          <w:gallery w:val="placeholder"/>
        </w:category>
        <w:types>
          <w:type w:val="bbPlcHdr"/>
        </w:types>
        <w:behaviors>
          <w:behavior w:val="content"/>
        </w:behaviors>
        <w:guid w:val="{70852D58-9421-4561-865C-4FE9F55F716B}"/>
      </w:docPartPr>
      <w:docPartBody>
        <w:p w:rsidR="00F85244" w:rsidRDefault="00D029CC" w:rsidP="00D029CC">
          <w:pPr>
            <w:pStyle w:val="7D76C22CEA6142C189BFDE6F9E1787A2"/>
          </w:pPr>
          <w:r w:rsidRPr="00BF2601">
            <w:rPr>
              <w:rStyle w:val="PlaceholderText"/>
            </w:rPr>
            <w:t>Click here to enter text.</w:t>
          </w:r>
        </w:p>
      </w:docPartBody>
    </w:docPart>
    <w:docPart>
      <w:docPartPr>
        <w:name w:val="7B9FE664BFD54A7DB43AD4FE987D0064"/>
        <w:category>
          <w:name w:val="General"/>
          <w:gallery w:val="placeholder"/>
        </w:category>
        <w:types>
          <w:type w:val="bbPlcHdr"/>
        </w:types>
        <w:behaviors>
          <w:behavior w:val="content"/>
        </w:behaviors>
        <w:guid w:val="{EDA248C4-32C2-4AA7-9038-795AB2C40338}"/>
      </w:docPartPr>
      <w:docPartBody>
        <w:p w:rsidR="00F85244" w:rsidRDefault="00D029CC" w:rsidP="00D029CC">
          <w:pPr>
            <w:pStyle w:val="7B9FE664BFD54A7DB43AD4FE987D0064"/>
          </w:pPr>
          <w:r w:rsidRPr="00BF2601">
            <w:rPr>
              <w:rStyle w:val="PlaceholderText"/>
            </w:rPr>
            <w:t>Click here to enter text.</w:t>
          </w:r>
        </w:p>
      </w:docPartBody>
    </w:docPart>
    <w:docPart>
      <w:docPartPr>
        <w:name w:val="4AFB46A836974B79BFD22B5973EDC8D1"/>
        <w:category>
          <w:name w:val="General"/>
          <w:gallery w:val="placeholder"/>
        </w:category>
        <w:types>
          <w:type w:val="bbPlcHdr"/>
        </w:types>
        <w:behaviors>
          <w:behavior w:val="content"/>
        </w:behaviors>
        <w:guid w:val="{0EA988C4-570E-410B-8079-D405173CF7F5}"/>
      </w:docPartPr>
      <w:docPartBody>
        <w:p w:rsidR="00FC4ACA" w:rsidRDefault="00F85244" w:rsidP="00F85244">
          <w:pPr>
            <w:pStyle w:val="4AFB46A836974B79BFD22B5973EDC8D1"/>
          </w:pPr>
          <w:r>
            <w:rPr>
              <w:sz w:val="24"/>
              <w:szCs w:val="24"/>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1B0F42"/>
    <w:rsid w:val="001F75B2"/>
    <w:rsid w:val="00230E8A"/>
    <w:rsid w:val="002474F9"/>
    <w:rsid w:val="00281398"/>
    <w:rsid w:val="002F295F"/>
    <w:rsid w:val="00324CFC"/>
    <w:rsid w:val="004B5DB6"/>
    <w:rsid w:val="004D4C0C"/>
    <w:rsid w:val="006414C8"/>
    <w:rsid w:val="007E07AF"/>
    <w:rsid w:val="007F5D5F"/>
    <w:rsid w:val="008F3F5D"/>
    <w:rsid w:val="009006D5"/>
    <w:rsid w:val="00962A3C"/>
    <w:rsid w:val="0096674E"/>
    <w:rsid w:val="00AC0837"/>
    <w:rsid w:val="00B57D7D"/>
    <w:rsid w:val="00CC4292"/>
    <w:rsid w:val="00CF73CA"/>
    <w:rsid w:val="00D029CC"/>
    <w:rsid w:val="00D479FB"/>
    <w:rsid w:val="00D84ACA"/>
    <w:rsid w:val="00DC3815"/>
    <w:rsid w:val="00E42D38"/>
    <w:rsid w:val="00E56434"/>
    <w:rsid w:val="00F01F12"/>
    <w:rsid w:val="00F157CF"/>
    <w:rsid w:val="00F32A67"/>
    <w:rsid w:val="00F445DF"/>
    <w:rsid w:val="00F85244"/>
    <w:rsid w:val="00FB7191"/>
    <w:rsid w:val="00FC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029C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7D76C22CEA6142C189BFDE6F9E1787A2">
    <w:name w:val="7D76C22CEA6142C189BFDE6F9E1787A2"/>
    <w:rsid w:val="00D029CC"/>
    <w:pPr>
      <w:spacing w:after="160" w:line="259" w:lineRule="auto"/>
    </w:pPr>
  </w:style>
  <w:style w:type="paragraph" w:customStyle="1" w:styleId="7B9FE664BFD54A7DB43AD4FE987D0064">
    <w:name w:val="7B9FE664BFD54A7DB43AD4FE987D0064"/>
    <w:rsid w:val="00D029CC"/>
    <w:pPr>
      <w:spacing w:after="160" w:line="259" w:lineRule="auto"/>
    </w:pPr>
  </w:style>
  <w:style w:type="paragraph" w:customStyle="1" w:styleId="4AFB46A836974B79BFD22B5973EDC8D1">
    <w:name w:val="4AFB46A836974B79BFD22B5973EDC8D1"/>
    <w:rsid w:val="00F852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5EC8-FB1C-4FB3-8ECC-82090E75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6082</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cp:revision>
  <cp:lastPrinted>2009-09-14T21:51:00Z</cp:lastPrinted>
  <dcterms:created xsi:type="dcterms:W3CDTF">2017-08-30T15:45:00Z</dcterms:created>
  <dcterms:modified xsi:type="dcterms:W3CDTF">2017-09-06T14:14:00Z</dcterms:modified>
</cp:coreProperties>
</file>