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Content>
        <w:p w14:paraId="48A41914" w14:textId="2863A9D7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Content>
              <w:r w:rsidR="0039281F">
                <w:t>18-000</w:t>
              </w:r>
              <w:r w:rsidR="00074570">
                <w:t>6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Content>
              <w:sdt>
                <w:sdtPr>
                  <w:alias w:val="Subject"/>
                  <w:tag w:val="Subject"/>
                  <w:id w:val="695278995"/>
                  <w:placeholder>
                    <w:docPart w:val="F83411FB9CAF4AC8B6382393A37FF9FC"/>
                  </w:placeholder>
                </w:sdtPr>
                <w:sdtContent>
                  <w:sdt>
                    <w:sdtPr>
                      <w:alias w:val="Title"/>
                      <w:tag w:val="Title"/>
                      <w:id w:val="-320669081"/>
                      <w:placeholder>
                        <w:docPart w:val="1B61C10963A24C94819DC947B31A7FDC"/>
                      </w:placeholder>
                    </w:sdtPr>
                    <w:sdtContent>
                      <w:r w:rsidR="00074570" w:rsidRPr="00074570">
                        <w:t xml:space="preserve">Remove </w:t>
                      </w:r>
                      <w:r w:rsidR="00413016">
                        <w:t>S</w:t>
                      </w:r>
                      <w:r w:rsidR="00074570" w:rsidRPr="00074570">
                        <w:t>chema</w:t>
                      </w:r>
                      <w:r w:rsidR="00BA47EB">
                        <w:t>s from</w:t>
                      </w:r>
                      <w:r w:rsidR="00413016">
                        <w:t xml:space="preserve"> Annexes</w:t>
                      </w:r>
                      <w:r w:rsidR="00BA47EB">
                        <w:t xml:space="preserve"> A and B</w:t>
                      </w:r>
                      <w:r w:rsidR="00074570" w:rsidRPr="00074570">
                        <w:t xml:space="preserve"> </w:t>
                      </w:r>
                      <w:r w:rsidR="00BA47EB">
                        <w:t xml:space="preserve">in </w:t>
                      </w:r>
                      <w:r w:rsidR="00074570" w:rsidRPr="00074570">
                        <w:t>Part 1 and Part 4</w:t>
                      </w:r>
                    </w:sdtContent>
                  </w:sdt>
                </w:sdtContent>
              </w:sdt>
            </w:sdtContent>
          </w:sdt>
        </w:p>
        <w:p w14:paraId="5A62F3A6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Content>
              <w:r>
                <w:t>Open</w:t>
              </w:r>
            </w:sdtContent>
          </w:sdt>
        </w:p>
        <w:p w14:paraId="212A09EA" w14:textId="05D907C1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Content>
                  <w:sdt>
                    <w:sdtPr>
                      <w:alias w:val="Title"/>
                      <w:tag w:val="Title"/>
                      <w:id w:val="-349561679"/>
                      <w:placeholder>
                        <w:docPart w:val="BF7965C549D84FE2A87555F6AD051581"/>
                      </w:placeholder>
                    </w:sdtPr>
                    <w:sdtContent>
                      <w:sdt>
                        <w:sdtPr>
                          <w:alias w:val="Title"/>
                          <w:tag w:val="Title"/>
                          <w:id w:val="1773121403"/>
                          <w:placeholder>
                            <w:docPart w:val="E5130EF410FB4EE69D9F1F3686184497"/>
                          </w:placeholder>
                        </w:sdtPr>
                        <w:sdtContent>
                          <w:r w:rsidR="00BA47EB" w:rsidRPr="00074570">
                            <w:t xml:space="preserve">Remove </w:t>
                          </w:r>
                          <w:r w:rsidR="00BA47EB">
                            <w:t>S</w:t>
                          </w:r>
                          <w:r w:rsidR="00BA47EB" w:rsidRPr="00074570">
                            <w:t>chema</w:t>
                          </w:r>
                          <w:r w:rsidR="00BA47EB">
                            <w:t>s from Annexes A and B</w:t>
                          </w:r>
                          <w:r w:rsidR="00BA47EB" w:rsidRPr="00074570">
                            <w:t xml:space="preserve"> </w:t>
                          </w:r>
                          <w:r w:rsidR="00BA47EB">
                            <w:t xml:space="preserve">in </w:t>
                          </w:r>
                          <w:r w:rsidR="00BA47EB" w:rsidRPr="00074570">
                            <w:t>Part 1 and Part 4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  <w:p w14:paraId="64CB0AFB" w14:textId="7777777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Content>
              <w:r>
                <w:t>Editorial defect</w:t>
              </w:r>
            </w:sdtContent>
          </w:sdt>
        </w:p>
        <w:p w14:paraId="5C712921" w14:textId="01899B45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Content>
              <w:r w:rsidR="00935B9C">
                <w:t>Francis Cave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Content>
              <w:r>
                <w:t>(</w:t>
              </w:r>
              <w:r w:rsidR="00935B9C">
                <w:t>BSI</w:t>
              </w:r>
              <w:r>
                <w:t>)</w:t>
              </w:r>
            </w:sdtContent>
          </w:sdt>
        </w:p>
        <w:p w14:paraId="7C43D10B" w14:textId="0A804A2A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Content>
              <w:r w:rsidR="00935B9C">
                <w:t>francis@franciscave.com</w:t>
              </w:r>
            </w:sdtContent>
          </w:sdt>
        </w:p>
        <w:p w14:paraId="50B78F14" w14:textId="5D595B00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Content>
              <w:r w:rsidR="00935B9C">
                <w:t>n/a</w:t>
              </w:r>
            </w:sdtContent>
          </w:sdt>
        </w:p>
        <w:p w14:paraId="2CF8C450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Content>
                  <w:r>
                    <w:t>none</w:t>
                  </w:r>
                </w:sdtContent>
              </w:sdt>
            </w:sdtContent>
          </w:sdt>
        </w:p>
        <w:p w14:paraId="5E9006EE" w14:textId="00771339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8-03-06T00:00:00Z">
                <w:dateFormat w:val="yyyy-MM-dd"/>
                <w:lid w:val="en-US"/>
                <w:storeMappedDataAs w:val="dateTime"/>
                <w:calendar w:val="gregorian"/>
              </w:date>
            </w:sdtPr>
            <w:sdtContent>
              <w:r w:rsidR="007377B7">
                <w:t>2018-03-06</w:t>
              </w:r>
            </w:sdtContent>
          </w:sdt>
        </w:p>
        <w:p w14:paraId="5666B871" w14:textId="4F423EE3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8-05-06T00:00:00Z">
                <w:dateFormat w:val="yyyy-MM-dd"/>
                <w:lid w:val="en-US"/>
                <w:storeMappedDataAs w:val="dateTime"/>
                <w:calendar w:val="gregorian"/>
              </w:date>
            </w:sdtPr>
            <w:sdtContent>
              <w:r w:rsidR="007377B7">
                <w:t>2018-05-06</w:t>
              </w:r>
            </w:sdtContent>
          </w:sdt>
        </w:p>
        <w:p w14:paraId="3DBEBB0A" w14:textId="5647E510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Content>
              <w:r w:rsidR="00935B9C">
                <w:t xml:space="preserve">29500:2016, Part 1, </w:t>
              </w:r>
              <w:r w:rsidR="00935B9C">
                <w:rPr>
                  <w:rFonts w:cstheme="minorHAnsi"/>
                </w:rPr>
                <w:t>§</w:t>
              </w:r>
              <w:r w:rsidR="00704243">
                <w:rPr>
                  <w:rFonts w:cstheme="minorHAnsi"/>
                </w:rPr>
                <w:t>A and §B</w:t>
              </w:r>
              <w:r w:rsidR="00413016">
                <w:rPr>
                  <w:rFonts w:cstheme="minorHAnsi"/>
                </w:rPr>
                <w:t>;</w:t>
              </w:r>
              <w:r w:rsidR="00413016">
                <w:t xml:space="preserve"> Part 4, </w:t>
              </w:r>
              <w:r w:rsidR="00413016">
                <w:rPr>
                  <w:rFonts w:cstheme="minorHAnsi"/>
                </w:rPr>
                <w:t>§A and §B</w:t>
              </w:r>
            </w:sdtContent>
          </w:sdt>
        </w:p>
        <w:p w14:paraId="591A4F5D" w14:textId="2594CC90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Content>
              <w:r w:rsidR="00505098" w:rsidRPr="00505098">
                <w:rPr>
                  <w:lang w:val="en-GB" w:eastAsia="en-US"/>
                </w:rPr>
                <w:t>DR 18-0003 “</w:t>
              </w:r>
              <w:r w:rsidR="00505098" w:rsidRPr="00505098">
                <w:rPr>
                  <w:lang w:eastAsia="en-US"/>
                </w:rPr>
                <w:t>DML: Prose not linked to schemas</w:t>
              </w:r>
              <w:r w:rsidR="00505098" w:rsidRPr="00505098">
                <w:rPr>
                  <w:lang w:val="en-GB" w:eastAsia="en-US"/>
                </w:rPr>
                <w:t>”</w:t>
              </w:r>
            </w:sdtContent>
          </w:sdt>
        </w:p>
        <w:p w14:paraId="61638FBB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rPr>
              <w:sz w:val="24"/>
              <w:szCs w:val="24"/>
            </w:r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Content>
            <w:p w14:paraId="73F0073D" w14:textId="6245ED21" w:rsidR="009612EE" w:rsidRPr="009612EE" w:rsidRDefault="00631106" w:rsidP="00631106">
              <w:pPr>
                <w:rPr>
                  <w:rFonts w:ascii="Calibri" w:eastAsiaTheme="minorHAnsi" w:hAnsi="Calibri"/>
                  <w:szCs w:val="24"/>
                  <w:highlight w:val="yellow"/>
                  <w:lang w:eastAsia="en-US"/>
                </w:rPr>
              </w:pPr>
              <w:r>
                <w:rPr>
                  <w:sz w:val="24"/>
                  <w:szCs w:val="24"/>
                </w:rPr>
                <w:t xml:space="preserve">Currently, the XSD </w:t>
              </w:r>
              <w:r w:rsidR="003D607D">
                <w:rPr>
                  <w:sz w:val="24"/>
                  <w:szCs w:val="24"/>
                </w:rPr>
                <w:t xml:space="preserve">schemas </w:t>
              </w:r>
              <w:r>
                <w:rPr>
                  <w:sz w:val="24"/>
                  <w:szCs w:val="24"/>
                </w:rPr>
                <w:t xml:space="preserve">exist in two forms: in </w:t>
              </w:r>
              <w:r w:rsidRPr="003D607D">
                <w:rPr>
                  <w:sz w:val="24"/>
                  <w:szCs w:val="24"/>
                  <w:u w:val="single"/>
                </w:rPr>
                <w:t>normative</w:t>
              </w:r>
              <w:r>
                <w:rPr>
                  <w:sz w:val="24"/>
                  <w:szCs w:val="24"/>
                </w:rPr>
                <w:t xml:space="preserve"> annexes in Parts 1 and 4, and as electronic files.</w:t>
              </w:r>
              <w:r w:rsidR="003D607D">
                <w:rPr>
                  <w:sz w:val="24"/>
                  <w:szCs w:val="24"/>
                </w:rPr>
                <w:t xml:space="preserve"> If there are differences between the annex and electronic file versions, the annex version wins.</w:t>
              </w:r>
            </w:p>
            <w:p w14:paraId="0928BA0A" w14:textId="3D08AA4F" w:rsidR="003D607D" w:rsidRPr="009612EE" w:rsidRDefault="003D607D" w:rsidP="003D607D">
              <w:pPr>
                <w:rPr>
                  <w:rFonts w:ascii="Calibri" w:eastAsiaTheme="minorHAnsi" w:hAnsi="Calibri"/>
                  <w:szCs w:val="24"/>
                  <w:highlight w:val="yellow"/>
                  <w:lang w:eastAsia="en-US"/>
                </w:rPr>
              </w:pPr>
              <w:r>
                <w:rPr>
                  <w:sz w:val="24"/>
                  <w:szCs w:val="24"/>
                </w:rPr>
                <w:t xml:space="preserve">Also, the RelaxNG schemas exist in two forms: in </w:t>
              </w:r>
              <w:r w:rsidRPr="003D607D">
                <w:rPr>
                  <w:sz w:val="24"/>
                  <w:szCs w:val="24"/>
                  <w:u w:val="single"/>
                </w:rPr>
                <w:t>informative</w:t>
              </w:r>
              <w:r>
                <w:rPr>
                  <w:sz w:val="24"/>
                  <w:szCs w:val="24"/>
                </w:rPr>
                <w:t xml:space="preserve"> annexes in Parts 1 and 4, and as electronic files. If there are differences between the annex and electronic file versions, the annex version wins.</w:t>
              </w:r>
            </w:p>
            <w:p w14:paraId="2BC705C4" w14:textId="6B8060A6" w:rsidR="00631106" w:rsidRDefault="002222A5" w:rsidP="00631106">
              <w:pPr>
                <w:pStyle w:val="NormalWeb"/>
              </w:pPr>
              <w:r>
                <w:t>The problem is that schemas in annexes a</w:t>
              </w:r>
              <w:r w:rsidR="00F532D0">
                <w:t>nd</w:t>
              </w:r>
              <w:r>
                <w:t xml:space="preserve"> electronic files are maintained by different processes, which doubles the maintenance effort and gives rise to the possibility </w:t>
              </w:r>
              <w:r w:rsidR="00F532D0">
                <w:t xml:space="preserve">of </w:t>
              </w:r>
              <w:r>
                <w:t>differences between the two representations</w:t>
              </w:r>
              <w:r w:rsidR="00926B41">
                <w:t>, with the electronic version likely being correct, but superseded by the corresponding annex</w:t>
              </w:r>
              <w:r>
                <w:t>. The annex versions also contribute 600+ pages to the specs</w:t>
              </w:r>
              <w:r w:rsidR="007C13E0">
                <w:t xml:space="preserve"> (8% of Part 1’s page count, and 50% of Part 4’s page count).</w:t>
              </w:r>
            </w:p>
            <w:p w14:paraId="438DD6D2" w14:textId="122B4A8A" w:rsidR="00CE2B5D" w:rsidRPr="005E0085" w:rsidRDefault="00830C65" w:rsidP="003461D6">
              <w:pPr>
                <w:pStyle w:val="NormalWeb"/>
              </w:pPr>
              <w:r>
                <w:lastRenderedPageBreak/>
                <w:t>Implementers</w:t>
              </w:r>
              <w:r w:rsidR="00926B41">
                <w:t xml:space="preserve"> and tool builders use the electron</w:t>
              </w:r>
              <w:r>
                <w:t>ic versions, so let’s consider getting rid of the annex versions.</w:t>
              </w:r>
              <w:r w:rsidR="00C0607A">
                <w:t xml:space="preserve"> In future, COR corrections to schema can just as easily be </w:t>
              </w:r>
              <w:r w:rsidR="00F532D0">
                <w:t xml:space="preserve">written relative to </w:t>
              </w:r>
              <w:r w:rsidR="00C0607A">
                <w:t>lines in the electronic file as to lines in an annex.</w:t>
              </w:r>
            </w:p>
          </w:sdtContent>
        </w:sdt>
        <w:p w14:paraId="3377009E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Content>
            <w:p w14:paraId="79A15D64" w14:textId="77777777" w:rsidR="00F629D4" w:rsidRDefault="00F629D4" w:rsidP="004B4D74">
              <w:pPr>
                <w:keepNext/>
              </w:pPr>
              <w:r>
                <w:t>For each of Part 1 and 4:</w:t>
              </w:r>
            </w:p>
            <w:p w14:paraId="407BBC51" w14:textId="61634257" w:rsidR="00F629D4" w:rsidRDefault="00704D1D" w:rsidP="00F532D0">
              <w:pPr>
                <w:pStyle w:val="ListBullet"/>
              </w:pPr>
              <w:r>
                <w:t>Remove the schemas from each subclause in Annexes A and B, leaving just the open paragraph that refers to the corresponding annex.</w:t>
              </w:r>
            </w:p>
            <w:p w14:paraId="37F4E3E4" w14:textId="6D7DFB91" w:rsidR="00B55F87" w:rsidRDefault="00B55F87" w:rsidP="00F532D0">
              <w:pPr>
                <w:pStyle w:val="ListBullet"/>
              </w:pPr>
              <w:r>
                <w:t>Declare the electronic version of the XSD schema to be normative.</w:t>
              </w:r>
            </w:p>
            <w:p w14:paraId="261CF109" w14:textId="4C7CF567" w:rsidR="00D23E70" w:rsidRDefault="00D23E70" w:rsidP="00D23E70">
              <w:pPr>
                <w:pStyle w:val="ListBullet"/>
              </w:pPr>
              <w:r>
                <w:t xml:space="preserve">Declare the electronic version of the </w:t>
              </w:r>
              <w:r>
                <w:t>RelaxNG</w:t>
              </w:r>
              <w:r>
                <w:t xml:space="preserve"> schema to be </w:t>
              </w:r>
              <w:r w:rsidR="00525657">
                <w:t>informative</w:t>
              </w:r>
              <w:bookmarkStart w:id="1" w:name="_GoBack"/>
              <w:bookmarkEnd w:id="1"/>
              <w:r>
                <w:t>.</w:t>
              </w:r>
            </w:p>
            <w:p w14:paraId="775F8E6D" w14:textId="499318A0" w:rsidR="00CE2B5D" w:rsidRPr="006F71E7" w:rsidRDefault="00704D1D" w:rsidP="00F532D0">
              <w:pPr>
                <w:pStyle w:val="ListBullet"/>
                <w:rPr>
                  <w:sz w:val="24"/>
                </w:rPr>
              </w:pPr>
              <w:r>
                <w:t>For each hyperlink to a schema type, either remove that link or replace it with a link to the type in an HTML rendering of the schema, for example. (The actual indexing mechanism has yet to be determine</w:t>
              </w:r>
              <w:r w:rsidR="0000102D">
                <w:t>d</w:t>
              </w:r>
              <w:r>
                <w:t>.)</w:t>
              </w:r>
            </w:p>
          </w:sdtContent>
        </w:sdt>
        <w:p w14:paraId="27E7F46B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08987A6D" w14:textId="69C9140B" w:rsidR="002A1164" w:rsidRPr="007D6420" w:rsidRDefault="00CB6263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14:paraId="5C9D5AFF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p w14:paraId="7D56E7FA" w14:textId="0E7FB1A3" w:rsidR="00CB6263" w:rsidRDefault="00CB6263" w:rsidP="00750EC5">
              <w:pPr>
                <w:rPr>
                  <w:b/>
                  <w:sz w:val="24"/>
                  <w:szCs w:val="24"/>
                </w:rPr>
              </w:pPr>
              <w:r>
                <w:rPr>
                  <w:b/>
                  <w:sz w:val="24"/>
                  <w:szCs w:val="24"/>
                </w:rPr>
                <w:t>2018-03-06/08 Prague F2F Meeting:</w:t>
              </w:r>
            </w:p>
            <w:p w14:paraId="636BA898" w14:textId="7BF469CC" w:rsidR="00505098" w:rsidRPr="00505098" w:rsidRDefault="00CB6263" w:rsidP="00505098">
              <w:pPr>
                <w:rPr>
                  <w:rFonts w:ascii="Calibri" w:eastAsiaTheme="minorHAnsi" w:hAnsi="Calibri"/>
                  <w:szCs w:val="24"/>
                  <w:lang w:eastAsia="en-US"/>
                </w:rPr>
              </w:pPr>
              <w:r w:rsidRPr="00CB6263">
                <w:t xml:space="preserve">This topic </w:t>
              </w:r>
              <w:r w:rsidR="00B55F87">
                <w:t>arose</w:t>
              </w:r>
              <w:r w:rsidRPr="00CB6263">
                <w:t xml:space="preserve"> from a discussion of issues raised in </w:t>
              </w:r>
              <w:r w:rsidR="00505098" w:rsidRPr="00CB6263">
                <w:rPr>
                  <w:rFonts w:eastAsiaTheme="minorHAnsi"/>
                </w:rPr>
                <w:t>DR 18-0003 “DML: Prose not linked to schemas”</w:t>
              </w:r>
              <w:r>
                <w:rPr>
                  <w:rFonts w:eastAsiaTheme="minorHAnsi"/>
                </w:rPr>
                <w:t xml:space="preserve">. </w:t>
              </w:r>
              <w:r w:rsidR="00505098" w:rsidRPr="00505098">
                <w:rPr>
                  <w:rFonts w:ascii="Calibri" w:eastAsiaTheme="minorHAnsi" w:hAnsi="Calibri"/>
                  <w:szCs w:val="24"/>
                  <w:lang w:eastAsia="en-US"/>
                </w:rPr>
                <w:t>After some discussion on the general issue raised by th</w:t>
              </w:r>
              <w:r>
                <w:rPr>
                  <w:rFonts w:ascii="Calibri" w:eastAsiaTheme="minorHAnsi" w:hAnsi="Calibri"/>
                  <w:szCs w:val="24"/>
                  <w:lang w:eastAsia="en-US"/>
                </w:rPr>
                <w:t>at</w:t>
              </w:r>
              <w:r w:rsidR="00505098" w:rsidRPr="00505098">
                <w:rPr>
                  <w:rFonts w:ascii="Calibri" w:eastAsiaTheme="minorHAnsi" w:hAnsi="Calibri"/>
                  <w:szCs w:val="24"/>
                  <w:lang w:eastAsia="en-US"/>
                </w:rPr>
                <w:t xml:space="preserve"> DR, </w:t>
              </w:r>
              <w:r w:rsidR="00505098" w:rsidRPr="00505098">
                <w:rPr>
                  <w:rFonts w:ascii="Calibri" w:eastAsiaTheme="minorHAnsi" w:hAnsi="Calibri"/>
                  <w:b/>
                  <w:szCs w:val="24"/>
                  <w:highlight w:val="magenta"/>
                  <w:u w:val="single"/>
                  <w:lang w:eastAsia="en-US"/>
                </w:rPr>
                <w:t>we agreed to remove the schemas from Annex A and B in Part 1 and Part 4 (leaving just the electronic schemas, the XSD of which becomes normative).</w:t>
              </w:r>
            </w:p>
            <w:p w14:paraId="342FB3D9" w14:textId="77777777" w:rsidR="00505098" w:rsidRPr="00505098" w:rsidRDefault="00505098" w:rsidP="00505098">
              <w:pPr>
                <w:rPr>
                  <w:rFonts w:ascii="Calibri" w:eastAsiaTheme="minorHAnsi" w:hAnsi="Calibri"/>
                  <w:b/>
                  <w:szCs w:val="24"/>
                  <w:lang w:eastAsia="en-US"/>
                </w:rPr>
              </w:pPr>
              <w:r w:rsidRPr="00505098">
                <w:rPr>
                  <w:rFonts w:ascii="Calibri" w:eastAsiaTheme="minorHAnsi" w:hAnsi="Calibri"/>
                  <w:szCs w:val="24"/>
                  <w:lang w:eastAsia="en-US"/>
                </w:rPr>
                <w:t xml:space="preserve">The downside to removing the schemas from the annexes is that the hyperlinks to types are lost. That lead to a discussion about building some indexing tools to allow types (and other items) to be located within the electronic schemas. Such tools could be included in the electronic annexes. </w:t>
              </w:r>
              <w:r w:rsidRPr="00505098">
                <w:rPr>
                  <w:rFonts w:ascii="Calibri" w:eastAsiaTheme="minorHAnsi" w:hAnsi="Calibri"/>
                  <w:b/>
                  <w:szCs w:val="24"/>
                  <w:lang w:eastAsia="en-US"/>
                </w:rPr>
                <w:t>Perhaps we can replace the links to type names in the annexes, to links in an HTML index rendering of the electronic schema.</w:t>
              </w:r>
            </w:p>
            <w:p w14:paraId="25136380" w14:textId="77777777" w:rsidR="00505098" w:rsidRPr="00505098" w:rsidRDefault="00505098" w:rsidP="00505098">
              <w:pPr>
                <w:rPr>
                  <w:rFonts w:ascii="Calibri" w:eastAsiaTheme="minorHAnsi" w:hAnsi="Calibri"/>
                  <w:szCs w:val="24"/>
                  <w:u w:val="single"/>
                  <w:lang w:eastAsia="en-US"/>
                </w:rPr>
              </w:pPr>
              <w:r w:rsidRPr="00505098">
                <w:rPr>
                  <w:rFonts w:ascii="Calibri" w:eastAsiaTheme="minorHAnsi" w:hAnsi="Calibri"/>
                  <w:b/>
                  <w:szCs w:val="24"/>
                  <w:u w:val="single"/>
                  <w:lang w:eastAsia="en-US"/>
                </w:rPr>
                <w:t>Rex will not make any actual edits w.r.t type links until the final cross-referencing mechanism is decided.</w:t>
              </w:r>
            </w:p>
            <w:p w14:paraId="73DCECE7" w14:textId="77777777" w:rsidR="00505098" w:rsidRPr="00505098" w:rsidRDefault="00505098" w:rsidP="00505098">
              <w:pPr>
                <w:rPr>
                  <w:rFonts w:ascii="Calibri" w:eastAsiaTheme="minorHAnsi" w:hAnsi="Calibri"/>
                  <w:szCs w:val="24"/>
                  <w:lang w:eastAsia="en-US"/>
                </w:rPr>
              </w:pPr>
              <w:r w:rsidRPr="00505098">
                <w:rPr>
                  <w:rFonts w:ascii="Calibri" w:eastAsiaTheme="minorHAnsi" w:hAnsi="Calibri"/>
                  <w:szCs w:val="24"/>
                  <w:lang w:eastAsia="en-US"/>
                </w:rPr>
                <w:t>We agreed to spin-off this issue into a new DR, DR 18-0006, “Remove Schema Annexes from Part 1 and Part 4”.</w:t>
              </w:r>
            </w:p>
            <w:p w14:paraId="1BB8D9B5" w14:textId="0B6258B6" w:rsidR="00F22746" w:rsidRPr="00BE4D08" w:rsidRDefault="00505098" w:rsidP="00750EC5">
              <w:r w:rsidRPr="00505098">
                <w:rPr>
                  <w:rFonts w:ascii="Calibri" w:eastAsiaTheme="minorHAnsi" w:hAnsi="Calibri"/>
                  <w:szCs w:val="24"/>
                  <w:lang w:eastAsia="en-US"/>
                </w:rPr>
                <w:t xml:space="preserve">Rex will own this new DR, the resolution of which will go in REV3, </w:t>
              </w:r>
              <w:r w:rsidRPr="00505098">
                <w:rPr>
                  <w:rFonts w:ascii="Calibri" w:eastAsiaTheme="minorHAnsi" w:hAnsi="Calibri"/>
                  <w:b/>
                  <w:szCs w:val="24"/>
                  <w:lang w:eastAsia="en-US"/>
                </w:rPr>
                <w:t>not</w:t>
              </w:r>
              <w:r w:rsidRPr="00505098">
                <w:rPr>
                  <w:rFonts w:ascii="Calibri" w:eastAsiaTheme="minorHAnsi" w:hAnsi="Calibri"/>
                  <w:szCs w:val="24"/>
                  <w:lang w:eastAsia="en-US"/>
                </w:rPr>
                <w:t xml:space="preserve"> COR4.</w:t>
              </w:r>
            </w:p>
          </w:sdtContent>
        </w:sdt>
        <w:p w14:paraId="1D84ABE7" w14:textId="4F42AB3F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Content>
              <w:r w:rsidR="00467ABB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Content>
              <w:r w:rsidR="00467ABB">
                <w:rPr>
                  <w:b w:val="0"/>
                </w:rPr>
                <w:t>Y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617C3" w14:textId="77777777" w:rsidR="00EF34A8" w:rsidRDefault="00EF34A8">
      <w:r>
        <w:separator/>
      </w:r>
    </w:p>
    <w:p w14:paraId="1B9A87AE" w14:textId="77777777" w:rsidR="00EF34A8" w:rsidRDefault="00EF34A8"/>
    <w:p w14:paraId="1253F103" w14:textId="77777777" w:rsidR="00EF34A8" w:rsidRDefault="00EF34A8"/>
  </w:endnote>
  <w:endnote w:type="continuationSeparator" w:id="0">
    <w:p w14:paraId="0CBC065D" w14:textId="77777777" w:rsidR="00EF34A8" w:rsidRDefault="00EF34A8">
      <w:r>
        <w:continuationSeparator/>
      </w:r>
    </w:p>
    <w:p w14:paraId="244CC8CC" w14:textId="77777777" w:rsidR="00EF34A8" w:rsidRDefault="00EF34A8"/>
    <w:p w14:paraId="30BFF7A0" w14:textId="77777777" w:rsidR="00EF34A8" w:rsidRDefault="00EF3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8CBD" w14:textId="4407D6EE" w:rsidR="00CB6263" w:rsidRDefault="00CB6263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657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14:paraId="04462952" w14:textId="77777777" w:rsidR="00CB6263" w:rsidRDefault="00CB6263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B1AD" w14:textId="77777777" w:rsidR="00EF34A8" w:rsidRDefault="00EF34A8">
      <w:r>
        <w:separator/>
      </w:r>
    </w:p>
    <w:p w14:paraId="3FA80DEB" w14:textId="77777777" w:rsidR="00EF34A8" w:rsidRDefault="00EF34A8"/>
    <w:p w14:paraId="2D2AC292" w14:textId="77777777" w:rsidR="00EF34A8" w:rsidRDefault="00EF34A8"/>
  </w:footnote>
  <w:footnote w:type="continuationSeparator" w:id="0">
    <w:p w14:paraId="5FF2FE6C" w14:textId="77777777" w:rsidR="00EF34A8" w:rsidRDefault="00EF34A8">
      <w:r>
        <w:continuationSeparator/>
      </w:r>
    </w:p>
    <w:p w14:paraId="081769FA" w14:textId="77777777" w:rsidR="00EF34A8" w:rsidRDefault="00EF34A8"/>
    <w:p w14:paraId="05494F26" w14:textId="77777777" w:rsidR="00EF34A8" w:rsidRDefault="00EF34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5A57" w14:textId="77777777" w:rsidR="00CB6263" w:rsidRDefault="00CB626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FA3826"/>
    <w:multiLevelType w:val="hybridMultilevel"/>
    <w:tmpl w:val="8F40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7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29"/>
  </w:num>
  <w:num w:numId="8">
    <w:abstractNumId w:val="31"/>
  </w:num>
  <w:num w:numId="9">
    <w:abstractNumId w:val="23"/>
  </w:num>
  <w:num w:numId="10">
    <w:abstractNumId w:val="25"/>
  </w:num>
  <w:num w:numId="11">
    <w:abstractNumId w:val="12"/>
  </w:num>
  <w:num w:numId="12">
    <w:abstractNumId w:val="17"/>
  </w:num>
  <w:num w:numId="13">
    <w:abstractNumId w:val="8"/>
  </w:num>
  <w:num w:numId="14">
    <w:abstractNumId w:val="14"/>
  </w:num>
  <w:num w:numId="15">
    <w:abstractNumId w:val="20"/>
  </w:num>
  <w:num w:numId="16">
    <w:abstractNumId w:val="16"/>
  </w:num>
  <w:num w:numId="17">
    <w:abstractNumId w:val="21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3"/>
  </w:num>
  <w:num w:numId="31">
    <w:abstractNumId w:val="27"/>
  </w:num>
  <w:num w:numId="32">
    <w:abstractNumId w:val="11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4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6"/>
  </w:num>
  <w:num w:numId="43">
    <w:abstractNumId w:val="28"/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2"/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30"/>
  </w:num>
  <w:num w:numId="57">
    <w:abstractNumId w:val="7"/>
  </w:num>
  <w:num w:numId="58">
    <w:abstractNumId w:val="19"/>
  </w:num>
  <w:num w:numId="59">
    <w:abstractNumId w:val="10"/>
  </w:num>
  <w:num w:numId="60">
    <w:abstractNumId w:val="3"/>
  </w:num>
  <w:num w:numId="61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F8"/>
    <w:rsid w:val="00000C3F"/>
    <w:rsid w:val="00000E0D"/>
    <w:rsid w:val="00000EFB"/>
    <w:rsid w:val="00001013"/>
    <w:rsid w:val="0000102D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70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878"/>
    <w:rsid w:val="00106A1C"/>
    <w:rsid w:val="00107204"/>
    <w:rsid w:val="00107357"/>
    <w:rsid w:val="00107398"/>
    <w:rsid w:val="00107C99"/>
    <w:rsid w:val="00107D45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528"/>
    <w:rsid w:val="001E0A09"/>
    <w:rsid w:val="001E0A0C"/>
    <w:rsid w:val="001E0D28"/>
    <w:rsid w:val="001E1757"/>
    <w:rsid w:val="001E17B3"/>
    <w:rsid w:val="001E1D3D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2A5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4D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085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509"/>
    <w:rsid w:val="003457FB"/>
    <w:rsid w:val="0034586A"/>
    <w:rsid w:val="0034594B"/>
    <w:rsid w:val="00345AAB"/>
    <w:rsid w:val="00346022"/>
    <w:rsid w:val="003461D6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81F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7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016"/>
    <w:rsid w:val="00413A15"/>
    <w:rsid w:val="00414533"/>
    <w:rsid w:val="004146AF"/>
    <w:rsid w:val="004146E7"/>
    <w:rsid w:val="00415AAB"/>
    <w:rsid w:val="00415B4F"/>
    <w:rsid w:val="00415C84"/>
    <w:rsid w:val="00415E3E"/>
    <w:rsid w:val="004167C2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55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ABB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D74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B7DF5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098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657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9E4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13C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106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5C74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C7F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1E7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243"/>
    <w:rsid w:val="00704548"/>
    <w:rsid w:val="00704D1D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7B7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EC5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3E0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0C65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386F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067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B41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5B9C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1C39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2E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4E2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2C7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313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4E53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5F87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7EB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08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7A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5F5E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263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E70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3DDF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4A8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1B8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2D0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9D4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1784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D3AD1"/>
  <w15:docId w15:val="{F8DF1C4B-3CE8-46DA-A99C-E11D1A54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BF7965C549D84FE2A87555F6AD051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2235-CC48-4CEF-85A8-9AA8A568B6D5}"/>
      </w:docPartPr>
      <w:docPartBody>
        <w:p w:rsidR="0058087D" w:rsidRDefault="0058087D" w:rsidP="0058087D">
          <w:pPr>
            <w:pStyle w:val="BF7965C549D84FE2A87555F6AD051581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83411FB9CAF4AC8B6382393A37F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4AFF-5734-441F-83A8-D67F3A439692}"/>
      </w:docPartPr>
      <w:docPartBody>
        <w:p w:rsidR="005804CA" w:rsidRDefault="00782E5B" w:rsidP="00782E5B">
          <w:pPr>
            <w:pStyle w:val="F83411FB9CAF4AC8B6382393A37FF9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1B61C10963A24C94819DC947B31A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FCE8-80B1-459C-9B8B-C89920D30A4E}"/>
      </w:docPartPr>
      <w:docPartBody>
        <w:p w:rsidR="005804CA" w:rsidRDefault="00782E5B" w:rsidP="00782E5B">
          <w:pPr>
            <w:pStyle w:val="1B61C10963A24C94819DC947B31A7FD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5130EF410FB4EE69D9F1F368618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C637A-9A54-4E53-9A2A-BF74152AF2A0}"/>
      </w:docPartPr>
      <w:docPartBody>
        <w:p w:rsidR="00745930" w:rsidRDefault="00745930" w:rsidP="00745930">
          <w:pPr>
            <w:pStyle w:val="E5130EF410FB4EE69D9F1F3686184497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F295F"/>
    <w:rsid w:val="00324CFC"/>
    <w:rsid w:val="004B5DB6"/>
    <w:rsid w:val="004D4C0C"/>
    <w:rsid w:val="005804CA"/>
    <w:rsid w:val="0058087D"/>
    <w:rsid w:val="006414C8"/>
    <w:rsid w:val="00745930"/>
    <w:rsid w:val="00782E5B"/>
    <w:rsid w:val="007F5D5F"/>
    <w:rsid w:val="00962A3C"/>
    <w:rsid w:val="0096674E"/>
    <w:rsid w:val="00B54CD1"/>
    <w:rsid w:val="00B57D7D"/>
    <w:rsid w:val="00CC4292"/>
    <w:rsid w:val="00D84ACA"/>
    <w:rsid w:val="00DB4F31"/>
    <w:rsid w:val="00DC3815"/>
    <w:rsid w:val="00E93ECA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745930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BF7965C549D84FE2A87555F6AD051581">
    <w:name w:val="BF7965C549D84FE2A87555F6AD051581"/>
    <w:rsid w:val="0058087D"/>
    <w:pPr>
      <w:spacing w:after="160" w:line="259" w:lineRule="auto"/>
    </w:pPr>
    <w:rPr>
      <w:lang w:val="en-GB" w:eastAsia="en-GB"/>
    </w:rPr>
  </w:style>
  <w:style w:type="paragraph" w:customStyle="1" w:styleId="F83411FB9CAF4AC8B6382393A37FF9FC">
    <w:name w:val="F83411FB9CAF4AC8B6382393A37FF9FC"/>
    <w:rsid w:val="00782E5B"/>
    <w:pPr>
      <w:spacing w:after="160" w:line="259" w:lineRule="auto"/>
    </w:pPr>
  </w:style>
  <w:style w:type="paragraph" w:customStyle="1" w:styleId="1B61C10963A24C94819DC947B31A7FDC">
    <w:name w:val="1B61C10963A24C94819DC947B31A7FDC"/>
    <w:rsid w:val="00782E5B"/>
    <w:pPr>
      <w:spacing w:after="160" w:line="259" w:lineRule="auto"/>
    </w:pPr>
  </w:style>
  <w:style w:type="paragraph" w:customStyle="1" w:styleId="421DE81DEC0A4858A767280F0DAC2104">
    <w:name w:val="421DE81DEC0A4858A767280F0DAC2104"/>
    <w:rsid w:val="00782E5B"/>
    <w:pPr>
      <w:spacing w:after="160" w:line="259" w:lineRule="auto"/>
    </w:pPr>
  </w:style>
  <w:style w:type="paragraph" w:customStyle="1" w:styleId="E5130EF410FB4EE69D9F1F3686184497">
    <w:name w:val="E5130EF410FB4EE69D9F1F3686184497"/>
    <w:rsid w:val="00745930"/>
    <w:pPr>
      <w:spacing w:after="160" w:line="259" w:lineRule="auto"/>
    </w:pPr>
  </w:style>
  <w:style w:type="paragraph" w:customStyle="1" w:styleId="32BE6272E00D42289D69421ACD257995">
    <w:name w:val="32BE6272E00D42289D69421ACD257995"/>
    <w:rsid w:val="007459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C5E3-42BE-4971-A366-2633DEF6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3418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62</cp:revision>
  <cp:lastPrinted>2009-09-14T21:51:00Z</cp:lastPrinted>
  <dcterms:created xsi:type="dcterms:W3CDTF">2018-03-06T13:47:00Z</dcterms:created>
  <dcterms:modified xsi:type="dcterms:W3CDTF">2018-03-07T10:53:00Z</dcterms:modified>
</cp:coreProperties>
</file>